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BB" w:rsidRDefault="006C2BBB" w:rsidP="006C2BBB">
      <w:pPr>
        <w:tabs>
          <w:tab w:val="left" w:pos="0"/>
        </w:tabs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0" t="0" r="0" b="0"/>
            <wp:wrapSquare wrapText="bothSides"/>
            <wp:docPr id="1" name="Resim 1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logo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BBB" w:rsidRDefault="006C2BBB" w:rsidP="006C2BBB">
      <w:pPr>
        <w:jc w:val="center"/>
        <w:rPr>
          <w:b/>
          <w:sz w:val="20"/>
          <w:szCs w:val="20"/>
        </w:rPr>
      </w:pPr>
      <w:r>
        <w:rPr>
          <w:b/>
        </w:rPr>
        <w:t>SAĞLIK BİLİMLERİ FAKÜLTESİ HEMŞİRELİK BÖLÜMÜ DERS BİLGİ FORMU</w:t>
      </w:r>
      <w:r>
        <w:rPr>
          <w:b/>
          <w:sz w:val="20"/>
          <w:szCs w:val="20"/>
        </w:rPr>
        <w:br w:type="textWrapping" w:clear="all"/>
      </w:r>
    </w:p>
    <w:p w:rsidR="006C2BBB" w:rsidRDefault="006C2BBB" w:rsidP="006C2BBB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6C2BBB" w:rsidTr="006C2BBB"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GÜZ</w:t>
            </w:r>
          </w:p>
        </w:tc>
      </w:tr>
    </w:tbl>
    <w:p w:rsidR="006C2BBB" w:rsidRDefault="006C2BBB" w:rsidP="006C2BBB">
      <w:pPr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6C2BBB" w:rsidTr="006C2BBB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Atık Yönetimi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281117004</w:t>
            </w:r>
            <w:proofErr w:type="gramEnd"/>
          </w:p>
        </w:tc>
      </w:tr>
    </w:tbl>
    <w:p w:rsidR="006C2BBB" w:rsidRDefault="006C2BBB" w:rsidP="006C2BBB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6C2BBB" w:rsidTr="006C2BBB">
        <w:trPr>
          <w:trHeight w:val="49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>. Fatma ÖVENLER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Öğr. </w:t>
            </w:r>
            <w:proofErr w:type="spellStart"/>
            <w:r>
              <w:rPr>
                <w:sz w:val="20"/>
                <w:szCs w:val="20"/>
              </w:rPr>
              <w:t>Elm</w:t>
            </w:r>
            <w:proofErr w:type="spellEnd"/>
            <w:r>
              <w:rPr>
                <w:sz w:val="20"/>
                <w:szCs w:val="20"/>
              </w:rPr>
              <w:t>. Fatma ÖVENLER</w:t>
            </w:r>
          </w:p>
        </w:tc>
      </w:tr>
    </w:tbl>
    <w:p w:rsidR="006C2BBB" w:rsidRDefault="006C2BBB" w:rsidP="006C2BBB">
      <w:p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</w:p>
    <w:tbl>
      <w:tblPr>
        <w:tblW w:w="545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851"/>
        <w:gridCol w:w="1270"/>
        <w:gridCol w:w="314"/>
        <w:gridCol w:w="1100"/>
        <w:gridCol w:w="988"/>
        <w:gridCol w:w="223"/>
        <w:gridCol w:w="1046"/>
        <w:gridCol w:w="1510"/>
        <w:gridCol w:w="2060"/>
      </w:tblGrid>
      <w:tr w:rsidR="006C2BBB" w:rsidTr="006C2BBB">
        <w:trPr>
          <w:trHeight w:val="383"/>
        </w:trPr>
        <w:tc>
          <w:tcPr>
            <w:tcW w:w="6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YARIYIL</w:t>
            </w:r>
          </w:p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2BBB" w:rsidTr="006C2BBB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DİLİ</w:t>
            </w:r>
          </w:p>
        </w:tc>
      </w:tr>
      <w:tr w:rsidR="006C2BBB" w:rsidTr="006C2BBB">
        <w:trPr>
          <w:trHeight w:val="367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b/>
                <w:bCs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bCs/>
                <w:sz w:val="20"/>
                <w:szCs w:val="20"/>
                <w:vertAlign w:val="superscript"/>
              </w:rPr>
              <w:t>SEÇMELİ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b/>
                <w:sz w:val="20"/>
                <w:szCs w:val="20"/>
                <w:vertAlign w:val="superscript"/>
                <w:lang w:eastAsia="en-US"/>
              </w:rPr>
            </w:pPr>
            <w:r>
              <w:rPr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6C2BBB" w:rsidTr="006C2BB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DEĞERLENDİRME SİSTEMİ</w:t>
            </w:r>
          </w:p>
        </w:tc>
      </w:tr>
      <w:tr w:rsidR="006C2BBB" w:rsidTr="006C2BBB">
        <w:tc>
          <w:tcPr>
            <w:tcW w:w="1775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40</w:t>
            </w: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60</w:t>
            </w:r>
          </w:p>
        </w:tc>
      </w:tr>
      <w:tr w:rsidR="006C2BBB" w:rsidTr="006C2BBB"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100</w:t>
            </w:r>
          </w:p>
        </w:tc>
      </w:tr>
      <w:tr w:rsidR="006C2BBB" w:rsidTr="006C2BB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ÖNKOŞULLAR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YOK</w:t>
            </w:r>
          </w:p>
        </w:tc>
      </w:tr>
      <w:tr w:rsidR="006C2BBB" w:rsidTr="006C2BBB">
        <w:trPr>
          <w:trHeight w:val="447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İÇERİĞİ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 kuruluşlarında oluşan atık türleri ve Çevre Bakanlığınca yayınlanan ilgili mevzuatlara göre atıkların yönetilmesi.</w:t>
            </w:r>
          </w:p>
        </w:tc>
      </w:tr>
      <w:tr w:rsidR="006C2BBB" w:rsidTr="006C2BB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AMAÇLARI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-2872 sayılı çevre kanununa göre; bütün canlıların ortak varlığı olan çevrenin sürdürülebilir çevre ve sürdürülebilir kalkınma ilkeleri doğrultusunda korunmasını sağlamak amacıyla, çevre ve insan sağlığı açısından yönetmeliklere göre çalışma ortamının düzenlenmesi konularının öğretilmesi</w:t>
            </w:r>
          </w:p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-Atıkların yönetimi konusunda temel bilgi, teoriler ile teknolojideki gelişmelerinin kazandırılması</w:t>
            </w:r>
          </w:p>
        </w:tc>
      </w:tr>
      <w:tr w:rsidR="006C2BBB" w:rsidTr="006C2BBB">
        <w:trPr>
          <w:trHeight w:val="426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-Atık yönetiminin çevre ve insan sağlığı açısından önemini kavrama</w:t>
            </w:r>
          </w:p>
          <w:p w:rsidR="006C2BBB" w:rsidRDefault="006C2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-Atık yönetiminde uygulanacak genel esasları öğrenme</w:t>
            </w:r>
          </w:p>
          <w:p w:rsidR="006C2BBB" w:rsidRDefault="006C2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-Sağlık kuruluşlarındaki atıkları sınıflandırabilme</w:t>
            </w:r>
          </w:p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-Atıklar ile ilgili mevzuatları kavrama</w:t>
            </w:r>
          </w:p>
        </w:tc>
      </w:tr>
      <w:tr w:rsidR="006C2BBB" w:rsidTr="006C2BBB">
        <w:trPr>
          <w:trHeight w:val="742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KAYNAKLAR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ascii="Calibri" w:eastAsia="Calibri" w:hAnsi="Calibri"/>
              </w:rPr>
            </w:pPr>
            <w:r>
              <w:rPr>
                <w:sz w:val="20"/>
                <w:szCs w:val="20"/>
              </w:rPr>
              <w:t xml:space="preserve">  -Tıbbi Atıkların Kontrolü Yönetmeliği</w:t>
            </w:r>
          </w:p>
          <w:p w:rsidR="006C2BBB" w:rsidRDefault="006C2B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-Ambalaj Atıklarının Kontrolü Yönetmeliği</w:t>
            </w:r>
          </w:p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-Atık Yönetimi Yönetmeliği</w:t>
            </w:r>
          </w:p>
        </w:tc>
      </w:tr>
      <w:tr w:rsidR="006C2BBB" w:rsidTr="006C2BBB">
        <w:trPr>
          <w:trHeight w:val="330"/>
        </w:trPr>
        <w:tc>
          <w:tcPr>
            <w:tcW w:w="177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ÖĞRETİM YÖNTEMLERİ</w:t>
            </w:r>
          </w:p>
        </w:tc>
        <w:tc>
          <w:tcPr>
            <w:tcW w:w="322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Sunum</w:t>
            </w:r>
          </w:p>
        </w:tc>
      </w:tr>
      <w:tr w:rsidR="006C2BBB" w:rsidTr="006C2BBB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2BBB" w:rsidRDefault="006C2B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C2BBB" w:rsidRDefault="006C2BBB" w:rsidP="006C2BBB">
      <w:pPr>
        <w:jc w:val="both"/>
        <w:rPr>
          <w:rFonts w:eastAsia="Calibri"/>
          <w:sz w:val="20"/>
          <w:szCs w:val="20"/>
          <w:lang w:eastAsia="en-US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</w:p>
    <w:tbl>
      <w:tblPr>
        <w:tblW w:w="540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6C2BBB" w:rsidTr="006C2BB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DERS AKIŞI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KONULAR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2872 sayılı çevre mevzuatına kısa bakış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 kuruluşlarındaki atıkların sınıflandırılması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Evsel atıkları genel bakış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Genel atıklar ve bertaraf edilmesi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Ambalaj atıkları ve geri kazanım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Tıbbi atık yönetiminde uygulanacak genel esaslar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Tıbbi atık üreticilerinin yükümlülükleri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Tıbbi atıklar(</w:t>
            </w:r>
            <w:proofErr w:type="spellStart"/>
            <w:r>
              <w:rPr>
                <w:sz w:val="20"/>
                <w:szCs w:val="20"/>
              </w:rPr>
              <w:t>enfeksiyöz</w:t>
            </w:r>
            <w:proofErr w:type="spellEnd"/>
            <w:r>
              <w:rPr>
                <w:sz w:val="20"/>
                <w:szCs w:val="20"/>
              </w:rPr>
              <w:t>, patolojik,  kesici delici atıklar)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Tıbbi atıkların toplanması, taşınması ve bertaraf yöntemleri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Sağlık kuruluşlarında oluşan tehlikeli atıklar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Tehlikeli atıkların bertaraf edilmesi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Radyoaktif atıklar</w:t>
            </w:r>
          </w:p>
        </w:tc>
      </w:tr>
      <w:tr w:rsidR="006C2BBB" w:rsidTr="006C2BB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Final</w:t>
            </w:r>
          </w:p>
        </w:tc>
      </w:tr>
    </w:tbl>
    <w:p w:rsidR="006C2BBB" w:rsidRDefault="006C2BBB" w:rsidP="006C2BBB">
      <w:pPr>
        <w:jc w:val="both"/>
        <w:rPr>
          <w:rFonts w:eastAsia="Calibri"/>
          <w:b/>
          <w:sz w:val="20"/>
          <w:szCs w:val="20"/>
          <w:lang w:eastAsia="en-US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6C2BBB" w:rsidTr="006C2BB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2BBB" w:rsidTr="006C2BB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Hemşirelik Eğitiminde, Tıbbi Problemleri Tanıma, </w:t>
            </w:r>
            <w:proofErr w:type="spellStart"/>
            <w:r>
              <w:rPr>
                <w:sz w:val="20"/>
                <w:szCs w:val="20"/>
              </w:rPr>
              <w:t>Formülize</w:t>
            </w:r>
            <w:proofErr w:type="spellEnd"/>
            <w:r>
              <w:rPr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C2BBB" w:rsidTr="006C2BB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C2BBB" w:rsidTr="006C2BBB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C2BBB" w:rsidRDefault="006C2BB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6C2BBB" w:rsidRDefault="006C2BBB" w:rsidP="006C2BBB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C2BBB" w:rsidRDefault="006C2BBB" w:rsidP="006C2BBB">
      <w:pPr>
        <w:jc w:val="both"/>
        <w:rPr>
          <w:b/>
          <w:sz w:val="20"/>
          <w:szCs w:val="20"/>
        </w:rPr>
      </w:pPr>
    </w:p>
    <w:p w:rsidR="006C2BBB" w:rsidRDefault="006C2BBB" w:rsidP="006C2BB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Tarih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          İmza</w:t>
      </w:r>
      <w:r>
        <w:rPr>
          <w:b/>
          <w:sz w:val="20"/>
          <w:szCs w:val="20"/>
        </w:rPr>
        <w:tab/>
      </w:r>
    </w:p>
    <w:p w:rsidR="006C2BBB" w:rsidRDefault="006C2BBB" w:rsidP="006C2BBB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17.04.2017      </w:t>
      </w:r>
    </w:p>
    <w:p w:rsidR="006C2BBB" w:rsidRDefault="006C2BBB" w:rsidP="006C2BBB">
      <w:pPr>
        <w:rPr>
          <w:rFonts w:ascii="Calibri" w:hAnsi="Calibri"/>
          <w:sz w:val="22"/>
          <w:szCs w:val="22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6C2BBB" w:rsidRDefault="006C2BBB" w:rsidP="00957C6A">
      <w:pPr>
        <w:shd w:val="clear" w:color="auto" w:fill="F5F5F5"/>
        <w:jc w:val="center"/>
        <w:textAlignment w:val="top"/>
        <w:rPr>
          <w:b/>
        </w:rPr>
      </w:pPr>
    </w:p>
    <w:p w:rsidR="00957C6A" w:rsidRPr="00F74584" w:rsidRDefault="00957C6A" w:rsidP="00957C6A">
      <w:pPr>
        <w:shd w:val="clear" w:color="auto" w:fill="F5F5F5"/>
        <w:jc w:val="center"/>
        <w:textAlignment w:val="top"/>
        <w:rPr>
          <w:color w:val="888888"/>
        </w:rPr>
      </w:pPr>
      <w:bookmarkStart w:id="0" w:name="_GoBack"/>
      <w:bookmarkEnd w:id="0"/>
      <w:r w:rsidRPr="00197E13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7E13">
        <w:rPr>
          <w:b/>
        </w:rPr>
        <w:t>FACULTY OF HEALTH NURSING DEPARTMENT, INFORMATION FORM OF COURSE</w:t>
      </w:r>
    </w:p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957C6A" w:rsidRPr="004F4F2A" w:rsidTr="003537C8">
        <w:tc>
          <w:tcPr>
            <w:tcW w:w="1167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1527" w:type="dxa"/>
            <w:vAlign w:val="center"/>
          </w:tcPr>
          <w:p w:rsidR="00957C6A" w:rsidRPr="004F4F2A" w:rsidRDefault="0088674C" w:rsidP="003537C8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957C6A" w:rsidRPr="004F4F2A" w:rsidTr="003537C8">
        <w:tc>
          <w:tcPr>
            <w:tcW w:w="3510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957C6A" w:rsidRPr="004F4F2A" w:rsidRDefault="00DE370E" w:rsidP="003537C8">
            <w:pPr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559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CODE </w:t>
            </w:r>
          </w:p>
        </w:tc>
        <w:tc>
          <w:tcPr>
            <w:tcW w:w="2553" w:type="dxa"/>
          </w:tcPr>
          <w:p w:rsidR="00957C6A" w:rsidRPr="004F4F2A" w:rsidRDefault="0088674C" w:rsidP="003537C8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281117004</w:t>
            </w:r>
            <w:proofErr w:type="gramEnd"/>
          </w:p>
        </w:tc>
      </w:tr>
    </w:tbl>
    <w:p w:rsidR="00957C6A" w:rsidRPr="004F4F2A" w:rsidRDefault="00957C6A" w:rsidP="00957C6A">
      <w:pPr>
        <w:jc w:val="both"/>
        <w:outlineLvl w:val="0"/>
        <w:rPr>
          <w:b/>
          <w:sz w:val="20"/>
          <w:szCs w:val="20"/>
        </w:rPr>
      </w:pPr>
      <w:r w:rsidRPr="004F4F2A">
        <w:rPr>
          <w:b/>
          <w:sz w:val="20"/>
          <w:szCs w:val="20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957C6A" w:rsidRPr="004F4F2A" w:rsidTr="003537C8">
        <w:trPr>
          <w:trHeight w:val="538"/>
        </w:trPr>
        <w:tc>
          <w:tcPr>
            <w:tcW w:w="2444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COORDINATOR</w:t>
            </w:r>
          </w:p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5" w:type="dxa"/>
            <w:vAlign w:val="center"/>
          </w:tcPr>
          <w:p w:rsidR="00957C6A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>Fatma ÖVENLER</w:t>
            </w:r>
          </w:p>
        </w:tc>
        <w:tc>
          <w:tcPr>
            <w:tcW w:w="2445" w:type="dxa"/>
            <w:vAlign w:val="center"/>
          </w:tcPr>
          <w:p w:rsidR="00957C6A" w:rsidRPr="004F4F2A" w:rsidRDefault="00957C6A" w:rsidP="003537C8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957C6A" w:rsidRPr="004F4F2A" w:rsidRDefault="00DE370E" w:rsidP="003537C8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>Fatma ÖVENLER</w:t>
            </w:r>
          </w:p>
        </w:tc>
      </w:tr>
    </w:tbl>
    <w:p w:rsidR="00957C6A" w:rsidRPr="004F4F2A" w:rsidRDefault="00957C6A" w:rsidP="00957C6A">
      <w:pPr>
        <w:jc w:val="both"/>
        <w:outlineLvl w:val="0"/>
        <w:rPr>
          <w:sz w:val="20"/>
          <w:szCs w:val="20"/>
        </w:rPr>
      </w:pPr>
      <w:r w:rsidRPr="004F4F2A">
        <w:rPr>
          <w:b/>
          <w:sz w:val="20"/>
          <w:szCs w:val="20"/>
        </w:rPr>
        <w:t xml:space="preserve">                            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957C6A" w:rsidRPr="004F4F2A" w:rsidTr="00957C6A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SEMESTER</w:t>
            </w:r>
          </w:p>
          <w:p w:rsidR="00957C6A" w:rsidRPr="004F4F2A" w:rsidRDefault="00957C6A" w:rsidP="003537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7C6A" w:rsidRPr="004F4F2A" w:rsidTr="00957C6A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C6A" w:rsidRPr="004F4F2A" w:rsidRDefault="00957C6A" w:rsidP="003537C8">
            <w:pPr>
              <w:ind w:left="-111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7C6A" w:rsidRPr="004F4F2A" w:rsidRDefault="00957C6A" w:rsidP="003537C8">
            <w:pPr>
              <w:jc w:val="center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LANGUAGE</w:t>
            </w:r>
          </w:p>
        </w:tc>
      </w:tr>
      <w:tr w:rsidR="00DE370E" w:rsidRPr="004F4F2A" w:rsidTr="00957C6A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88674C" w:rsidP="00DE3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sz w:val="20"/>
                <w:szCs w:val="20"/>
              </w:rPr>
            </w:pPr>
            <w:r w:rsidRPr="12E78420">
              <w:rPr>
                <w:sz w:val="20"/>
                <w:szCs w:val="20"/>
              </w:rPr>
              <w:t>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sz w:val="20"/>
                <w:szCs w:val="20"/>
              </w:rPr>
            </w:pPr>
            <w:r w:rsidRPr="12E78420">
              <w:rPr>
                <w:sz w:val="20"/>
                <w:szCs w:val="20"/>
              </w:rPr>
              <w:t>0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70E" w:rsidRPr="004B7673" w:rsidRDefault="00DE370E" w:rsidP="00DE370E">
            <w:pPr>
              <w:jc w:val="center"/>
              <w:rPr>
                <w:sz w:val="20"/>
                <w:szCs w:val="20"/>
              </w:rPr>
            </w:pPr>
            <w:r w:rsidRPr="12E78420">
              <w:rPr>
                <w:sz w:val="20"/>
                <w:szCs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E" w:rsidRPr="004B7673" w:rsidRDefault="00DE370E" w:rsidP="00DE370E">
            <w:pPr>
              <w:jc w:val="center"/>
              <w:rPr>
                <w:sz w:val="20"/>
                <w:szCs w:val="20"/>
              </w:rPr>
            </w:pPr>
            <w:r w:rsidRPr="12E78420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0E" w:rsidRPr="004B7673" w:rsidRDefault="00DE370E" w:rsidP="00DE370E">
            <w:pPr>
              <w:jc w:val="center"/>
              <w:rPr>
                <w:sz w:val="20"/>
                <w:szCs w:val="20"/>
              </w:rPr>
            </w:pPr>
            <w:r w:rsidRPr="12E78420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ELECTİVE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E370E" w:rsidRPr="004F4F2A" w:rsidRDefault="00DE370E" w:rsidP="00DE370E">
            <w:pPr>
              <w:jc w:val="center"/>
              <w:rPr>
                <w:sz w:val="20"/>
                <w:szCs w:val="20"/>
                <w:vertAlign w:val="superscript"/>
              </w:rPr>
            </w:pPr>
            <w:r w:rsidRPr="004F4F2A">
              <w:rPr>
                <w:sz w:val="20"/>
                <w:szCs w:val="20"/>
                <w:vertAlign w:val="superscript"/>
              </w:rPr>
              <w:t>TURKİSH</w:t>
            </w:r>
          </w:p>
        </w:tc>
      </w:tr>
      <w:tr w:rsidR="00DE370E" w:rsidRPr="004F4F2A" w:rsidTr="00957C6A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ASSESMENT SYSTEM</w:t>
            </w:r>
          </w:p>
        </w:tc>
      </w:tr>
      <w:tr w:rsidR="00DE370E" w:rsidRPr="004F4F2A" w:rsidTr="00957C6A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Faaliyet türü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370E" w:rsidRPr="004F4F2A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F4F2A">
              <w:rPr>
                <w:b/>
                <w:sz w:val="20"/>
                <w:szCs w:val="20"/>
              </w:rPr>
              <w:t>Percentage</w:t>
            </w:r>
            <w:proofErr w:type="spellEnd"/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First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      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 40</w:t>
            </w: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Second </w:t>
            </w:r>
            <w:proofErr w:type="spellStart"/>
            <w:r w:rsidRPr="004F4F2A">
              <w:rPr>
                <w:sz w:val="20"/>
                <w:szCs w:val="20"/>
              </w:rPr>
              <w:t>Mid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Presentation/</w:t>
            </w:r>
            <w:proofErr w:type="spellStart"/>
            <w:r w:rsidRPr="004F4F2A">
              <w:rPr>
                <w:sz w:val="20"/>
                <w:szCs w:val="20"/>
              </w:rPr>
              <w:t>Preparing</w:t>
            </w:r>
            <w:proofErr w:type="spellEnd"/>
            <w:r w:rsidRPr="004F4F2A">
              <w:rPr>
                <w:sz w:val="20"/>
                <w:szCs w:val="20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 xml:space="preserve">Final </w:t>
            </w:r>
            <w:proofErr w:type="spellStart"/>
            <w:r w:rsidRPr="004F4F2A">
              <w:rPr>
                <w:sz w:val="20"/>
                <w:szCs w:val="20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       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 60</w:t>
            </w:r>
          </w:p>
        </w:tc>
      </w:tr>
      <w:tr w:rsidR="00DE370E" w:rsidRPr="004F4F2A" w:rsidTr="00957C6A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370E" w:rsidRPr="004F4F2A" w:rsidRDefault="00DE370E" w:rsidP="00DE370E">
            <w:pPr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       2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4B7673" w:rsidRDefault="00DE370E" w:rsidP="00DE370E">
            <w:pPr>
              <w:jc w:val="both"/>
              <w:rPr>
                <w:b/>
                <w:bCs/>
                <w:sz w:val="20"/>
                <w:szCs w:val="20"/>
              </w:rPr>
            </w:pPr>
            <w:r w:rsidRPr="12E78420">
              <w:rPr>
                <w:b/>
                <w:bCs/>
                <w:sz w:val="20"/>
                <w:szCs w:val="20"/>
              </w:rPr>
              <w:t xml:space="preserve">               100</w:t>
            </w:r>
          </w:p>
        </w:tc>
      </w:tr>
      <w:tr w:rsidR="00DE370E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Absent</w:t>
            </w:r>
            <w:proofErr w:type="spellEnd"/>
          </w:p>
        </w:tc>
      </w:tr>
      <w:tr w:rsidR="00DE370E" w:rsidRPr="004F4F2A" w:rsidTr="00957C6A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DE370E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Types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generated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health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institutions</w:t>
            </w:r>
            <w:proofErr w:type="spellEnd"/>
          </w:p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 xml:space="preserve">Management of </w:t>
            </w:r>
            <w:proofErr w:type="spellStart"/>
            <w:r w:rsidRPr="00DE370E">
              <w:rPr>
                <w:sz w:val="20"/>
                <w:szCs w:val="20"/>
              </w:rPr>
              <w:t>wastes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according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relevant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legislation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published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by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Ministry</w:t>
            </w:r>
            <w:proofErr w:type="spellEnd"/>
            <w:r w:rsidRPr="00DE370E">
              <w:rPr>
                <w:sz w:val="20"/>
                <w:szCs w:val="20"/>
              </w:rPr>
              <w:t xml:space="preserve"> of Environment</w:t>
            </w:r>
          </w:p>
        </w:tc>
      </w:tr>
      <w:tr w:rsidR="00DE370E" w:rsidRPr="004F4F2A" w:rsidTr="00957C6A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DE370E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DE370E">
              <w:rPr>
                <w:sz w:val="20"/>
                <w:szCs w:val="20"/>
              </w:rPr>
              <w:t>According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environmental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law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number</w:t>
            </w:r>
            <w:proofErr w:type="spellEnd"/>
            <w:r w:rsidRPr="00DE370E">
              <w:rPr>
                <w:sz w:val="20"/>
                <w:szCs w:val="20"/>
              </w:rPr>
              <w:t xml:space="preserve"> 2872; </w:t>
            </w:r>
            <w:proofErr w:type="spellStart"/>
            <w:r w:rsidRPr="00DE370E">
              <w:rPr>
                <w:sz w:val="20"/>
                <w:szCs w:val="20"/>
              </w:rPr>
              <w:t>Teaching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subjects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regulation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working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environment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according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regulations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terms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environment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and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human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health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order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ensure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that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environment</w:t>
            </w:r>
            <w:proofErr w:type="spellEnd"/>
            <w:r w:rsidRPr="00DE370E">
              <w:rPr>
                <w:sz w:val="20"/>
                <w:szCs w:val="20"/>
              </w:rPr>
              <w:t xml:space="preserve">, </w:t>
            </w:r>
            <w:proofErr w:type="spellStart"/>
            <w:r w:rsidRPr="00DE370E">
              <w:rPr>
                <w:sz w:val="20"/>
                <w:szCs w:val="20"/>
              </w:rPr>
              <w:t>which</w:t>
            </w:r>
            <w:proofErr w:type="spellEnd"/>
            <w:r w:rsidRPr="00DE370E">
              <w:rPr>
                <w:sz w:val="20"/>
                <w:szCs w:val="20"/>
              </w:rPr>
              <w:t xml:space="preserve"> is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common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existence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all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living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things</w:t>
            </w:r>
            <w:proofErr w:type="spellEnd"/>
            <w:r w:rsidRPr="00DE370E">
              <w:rPr>
                <w:sz w:val="20"/>
                <w:szCs w:val="20"/>
              </w:rPr>
              <w:t xml:space="preserve">, is </w:t>
            </w:r>
            <w:proofErr w:type="spellStart"/>
            <w:r w:rsidRPr="00DE370E">
              <w:rPr>
                <w:sz w:val="20"/>
                <w:szCs w:val="20"/>
              </w:rPr>
              <w:t>preserved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line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with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sustainable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environment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and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sustainable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development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principles</w:t>
            </w:r>
            <w:proofErr w:type="spellEnd"/>
            <w:proofErr w:type="gramEnd"/>
          </w:p>
          <w:p w:rsidR="00DE370E" w:rsidRPr="00DE370E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> </w:t>
            </w:r>
          </w:p>
          <w:p w:rsidR="00DE370E" w:rsidRPr="004F4F2A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</w:t>
            </w:r>
            <w:r w:rsidRPr="00DE370E">
              <w:rPr>
                <w:sz w:val="20"/>
                <w:szCs w:val="20"/>
              </w:rPr>
              <w:t>asic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knowledge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management</w:t>
            </w:r>
            <w:proofErr w:type="spellEnd"/>
            <w:r w:rsidRPr="00DE370E">
              <w:rPr>
                <w:sz w:val="20"/>
                <w:szCs w:val="20"/>
              </w:rPr>
              <w:t xml:space="preserve">, </w:t>
            </w:r>
            <w:proofErr w:type="spellStart"/>
            <w:r w:rsidRPr="00DE370E">
              <w:rPr>
                <w:sz w:val="20"/>
                <w:szCs w:val="20"/>
              </w:rPr>
              <w:t>theories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and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development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technology</w:t>
            </w:r>
            <w:proofErr w:type="spellEnd"/>
          </w:p>
        </w:tc>
      </w:tr>
      <w:tr w:rsidR="00DE370E" w:rsidRPr="004F4F2A" w:rsidTr="00957C6A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0E" w:rsidRDefault="00DE370E" w:rsidP="00DE370E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Understanding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importance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management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terms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environment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and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human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health</w:t>
            </w:r>
            <w:proofErr w:type="spellEnd"/>
          </w:p>
          <w:p w:rsidR="00DE370E" w:rsidRDefault="00DE370E" w:rsidP="00DE370E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learn</w:t>
            </w:r>
            <w:proofErr w:type="spellEnd"/>
            <w:r w:rsidRPr="00DE370E">
              <w:rPr>
                <w:sz w:val="20"/>
                <w:szCs w:val="20"/>
              </w:rPr>
              <w:t xml:space="preserve"> general </w:t>
            </w:r>
            <w:proofErr w:type="spellStart"/>
            <w:r w:rsidRPr="00DE370E">
              <w:rPr>
                <w:sz w:val="20"/>
                <w:szCs w:val="20"/>
              </w:rPr>
              <w:t>principles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be </w:t>
            </w:r>
            <w:proofErr w:type="spellStart"/>
            <w:r w:rsidRPr="00DE370E">
              <w:rPr>
                <w:sz w:val="20"/>
                <w:szCs w:val="20"/>
              </w:rPr>
              <w:t>applied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management</w:t>
            </w:r>
            <w:proofErr w:type="spellEnd"/>
          </w:p>
          <w:p w:rsidR="00DE370E" w:rsidRDefault="00DE370E" w:rsidP="00DE370E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Classification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wastes</w:t>
            </w:r>
            <w:proofErr w:type="spellEnd"/>
            <w:r w:rsidRPr="00DE370E">
              <w:rPr>
                <w:sz w:val="20"/>
                <w:szCs w:val="20"/>
              </w:rPr>
              <w:t xml:space="preserve"> in </w:t>
            </w:r>
            <w:proofErr w:type="spellStart"/>
            <w:r w:rsidRPr="00DE370E">
              <w:rPr>
                <w:sz w:val="20"/>
                <w:szCs w:val="20"/>
              </w:rPr>
              <w:t>health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institutions</w:t>
            </w:r>
            <w:proofErr w:type="spellEnd"/>
          </w:p>
          <w:p w:rsidR="00DE370E" w:rsidRPr="00DE370E" w:rsidRDefault="00DE370E" w:rsidP="00DE370E">
            <w:pPr>
              <w:pStyle w:val="ListeParagraf"/>
              <w:numPr>
                <w:ilvl w:val="0"/>
                <w:numId w:val="1"/>
              </w:numPr>
              <w:tabs>
                <w:tab w:val="left" w:pos="7800"/>
              </w:tabs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Understanding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the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legislation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related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</w:p>
        </w:tc>
      </w:tr>
      <w:tr w:rsidR="00DE370E" w:rsidRPr="004F4F2A" w:rsidTr="00957C6A">
        <w:trPr>
          <w:trHeight w:val="54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DE370E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Medical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Control </w:t>
            </w:r>
            <w:proofErr w:type="spellStart"/>
            <w:r w:rsidRPr="00DE370E">
              <w:rPr>
                <w:sz w:val="20"/>
                <w:szCs w:val="20"/>
              </w:rPr>
              <w:t>Regulation</w:t>
            </w:r>
            <w:proofErr w:type="spellEnd"/>
          </w:p>
          <w:p w:rsidR="00DE370E" w:rsidRPr="00DE370E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Packaging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Control </w:t>
            </w:r>
            <w:proofErr w:type="spellStart"/>
            <w:r w:rsidRPr="00DE370E">
              <w:rPr>
                <w:sz w:val="20"/>
                <w:szCs w:val="20"/>
              </w:rPr>
              <w:t>Regulation</w:t>
            </w:r>
            <w:proofErr w:type="spellEnd"/>
          </w:p>
          <w:p w:rsidR="00DE370E" w:rsidRPr="004F4F2A" w:rsidRDefault="00DE370E" w:rsidP="00DE370E">
            <w:pPr>
              <w:pStyle w:val="AralkYok"/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  <w:r w:rsidRPr="00DE370E">
              <w:rPr>
                <w:sz w:val="20"/>
                <w:szCs w:val="20"/>
              </w:rPr>
              <w:t xml:space="preserve"> Management </w:t>
            </w:r>
            <w:proofErr w:type="spellStart"/>
            <w:r w:rsidRPr="00DE370E">
              <w:rPr>
                <w:sz w:val="20"/>
                <w:szCs w:val="20"/>
              </w:rPr>
              <w:t>Regulation</w:t>
            </w:r>
            <w:proofErr w:type="spellEnd"/>
          </w:p>
        </w:tc>
      </w:tr>
      <w:tr w:rsidR="00DE370E" w:rsidRPr="004F4F2A" w:rsidTr="00957C6A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>Presentation</w:t>
            </w: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530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957C6A" w:rsidRPr="004F4F2A" w:rsidTr="00957C6A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COURSE CONTENT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TOPICS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 xml:space="preserve">A </w:t>
            </w:r>
            <w:proofErr w:type="spellStart"/>
            <w:r w:rsidRPr="00DE370E">
              <w:rPr>
                <w:sz w:val="20"/>
                <w:szCs w:val="20"/>
              </w:rPr>
              <w:t>short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overview</w:t>
            </w:r>
            <w:proofErr w:type="spellEnd"/>
            <w:r w:rsidRPr="00DE370E">
              <w:rPr>
                <w:sz w:val="20"/>
                <w:szCs w:val="20"/>
              </w:rPr>
              <w:t xml:space="preserve"> of </w:t>
            </w:r>
            <w:proofErr w:type="spellStart"/>
            <w:r w:rsidRPr="00DE370E">
              <w:rPr>
                <w:sz w:val="20"/>
                <w:szCs w:val="20"/>
              </w:rPr>
              <w:t>env</w:t>
            </w:r>
            <w:r>
              <w:rPr>
                <w:sz w:val="20"/>
                <w:szCs w:val="20"/>
              </w:rPr>
              <w:t>ironmental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legislation</w:t>
            </w:r>
            <w:proofErr w:type="spellEnd"/>
            <w:r>
              <w:rPr>
                <w:sz w:val="20"/>
                <w:szCs w:val="20"/>
              </w:rPr>
              <w:t xml:space="preserve"> No. 2872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Classification</w:t>
            </w:r>
            <w:proofErr w:type="spellEnd"/>
            <w:r w:rsidRPr="00DE370E">
              <w:rPr>
                <w:sz w:val="20"/>
                <w:szCs w:val="20"/>
              </w:rPr>
              <w:t xml:space="preserve"> o</w:t>
            </w:r>
            <w:r>
              <w:rPr>
                <w:sz w:val="20"/>
                <w:szCs w:val="20"/>
              </w:rPr>
              <w:t xml:space="preserve">f </w:t>
            </w:r>
            <w:proofErr w:type="spellStart"/>
            <w:r>
              <w:rPr>
                <w:sz w:val="20"/>
                <w:szCs w:val="20"/>
              </w:rPr>
              <w:t>wastes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Overview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household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</w:t>
            </w:r>
            <w:proofErr w:type="spellStart"/>
            <w:r>
              <w:rPr>
                <w:sz w:val="20"/>
                <w:szCs w:val="20"/>
              </w:rPr>
              <w:t>wastes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disposal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Packaging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recovery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 xml:space="preserve">General </w:t>
            </w:r>
            <w:proofErr w:type="spellStart"/>
            <w:r w:rsidRPr="00DE370E">
              <w:rPr>
                <w:sz w:val="20"/>
                <w:szCs w:val="20"/>
              </w:rPr>
              <w:t>principles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to</w:t>
            </w:r>
            <w:proofErr w:type="spellEnd"/>
            <w:r w:rsidRPr="00DE370E">
              <w:rPr>
                <w:sz w:val="20"/>
                <w:szCs w:val="20"/>
              </w:rPr>
              <w:t xml:space="preserve"> be </w:t>
            </w:r>
            <w:proofErr w:type="spellStart"/>
            <w:r w:rsidRPr="00DE370E">
              <w:rPr>
                <w:sz w:val="20"/>
                <w:szCs w:val="20"/>
              </w:rPr>
              <w:t>appl</w:t>
            </w:r>
            <w:r>
              <w:rPr>
                <w:sz w:val="20"/>
                <w:szCs w:val="20"/>
              </w:rPr>
              <w:t>ied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management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Obligat</w:t>
            </w:r>
            <w:r>
              <w:rPr>
                <w:sz w:val="20"/>
                <w:szCs w:val="20"/>
              </w:rPr>
              <w:t>ions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producers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DE370E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Medical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wastes</w:t>
            </w:r>
            <w:proofErr w:type="spellEnd"/>
            <w:r w:rsidRPr="00DE370E">
              <w:rPr>
                <w:sz w:val="20"/>
                <w:szCs w:val="20"/>
              </w:rPr>
              <w:t xml:space="preserve"> (</w:t>
            </w:r>
            <w:proofErr w:type="spellStart"/>
            <w:r w:rsidRPr="00DE370E">
              <w:rPr>
                <w:sz w:val="20"/>
                <w:szCs w:val="20"/>
              </w:rPr>
              <w:t>infectious</w:t>
            </w:r>
            <w:proofErr w:type="spellEnd"/>
            <w:r w:rsidRPr="00DE370E">
              <w:rPr>
                <w:sz w:val="20"/>
                <w:szCs w:val="20"/>
              </w:rPr>
              <w:t xml:space="preserve">, </w:t>
            </w:r>
            <w:proofErr w:type="spellStart"/>
            <w:r w:rsidRPr="00DE370E">
              <w:rPr>
                <w:sz w:val="20"/>
                <w:szCs w:val="20"/>
              </w:rPr>
              <w:t>pathological</w:t>
            </w:r>
            <w:proofErr w:type="spellEnd"/>
            <w:r w:rsidRPr="00DE370E">
              <w:rPr>
                <w:sz w:val="20"/>
                <w:szCs w:val="20"/>
              </w:rPr>
              <w:t xml:space="preserve">, </w:t>
            </w:r>
            <w:proofErr w:type="spellStart"/>
            <w:r w:rsidRPr="00DE370E">
              <w:rPr>
                <w:sz w:val="20"/>
                <w:szCs w:val="20"/>
              </w:rPr>
              <w:t>cutting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piercing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wastes</w:t>
            </w:r>
            <w:proofErr w:type="spellEnd"/>
            <w:r w:rsidRPr="00DE370E">
              <w:rPr>
                <w:sz w:val="20"/>
                <w:szCs w:val="20"/>
              </w:rPr>
              <w:t>)</w:t>
            </w:r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DE370E" w:rsidP="003537C8">
            <w:pPr>
              <w:jc w:val="both"/>
              <w:rPr>
                <w:sz w:val="20"/>
                <w:szCs w:val="20"/>
              </w:rPr>
            </w:pPr>
            <w:r w:rsidRPr="00DE370E">
              <w:rPr>
                <w:sz w:val="20"/>
                <w:szCs w:val="20"/>
              </w:rPr>
              <w:t>Collection, transport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disposal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Hazardous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wastes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enerated</w:t>
            </w:r>
            <w:proofErr w:type="spellEnd"/>
            <w:r>
              <w:rPr>
                <w:sz w:val="20"/>
                <w:szCs w:val="20"/>
              </w:rPr>
              <w:t xml:space="preserve"> in </w:t>
            </w:r>
            <w:proofErr w:type="spellStart"/>
            <w:r>
              <w:rPr>
                <w:sz w:val="20"/>
                <w:szCs w:val="20"/>
              </w:rPr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institutions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C6A" w:rsidRPr="004F4F2A" w:rsidRDefault="00DE370E" w:rsidP="003537C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Disposal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hazardous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wastes</w:t>
            </w:r>
            <w:proofErr w:type="spellEnd"/>
          </w:p>
        </w:tc>
      </w:tr>
      <w:tr w:rsidR="00957C6A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7C6A" w:rsidRPr="004F4F2A" w:rsidRDefault="00957C6A" w:rsidP="003537C8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57C6A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DE370E">
              <w:rPr>
                <w:sz w:val="20"/>
                <w:szCs w:val="20"/>
              </w:rPr>
              <w:t>Radioactive</w:t>
            </w:r>
            <w:proofErr w:type="spellEnd"/>
            <w:r w:rsidRPr="00DE370E">
              <w:rPr>
                <w:sz w:val="20"/>
                <w:szCs w:val="20"/>
              </w:rPr>
              <w:t xml:space="preserve"> </w:t>
            </w:r>
            <w:proofErr w:type="spellStart"/>
            <w:r w:rsidRPr="00DE370E">
              <w:rPr>
                <w:sz w:val="20"/>
                <w:szCs w:val="20"/>
              </w:rPr>
              <w:t>waste</w:t>
            </w:r>
            <w:proofErr w:type="spellEnd"/>
          </w:p>
        </w:tc>
      </w:tr>
      <w:tr w:rsidR="00DE370E" w:rsidRPr="004F4F2A" w:rsidTr="00957C6A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370E" w:rsidRPr="004F4F2A" w:rsidRDefault="00DE370E" w:rsidP="003537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E370E" w:rsidRPr="00DE370E" w:rsidRDefault="00DE370E" w:rsidP="00DE370E">
            <w:pPr>
              <w:jc w:val="both"/>
              <w:rPr>
                <w:sz w:val="20"/>
                <w:szCs w:val="20"/>
              </w:rPr>
            </w:pPr>
          </w:p>
        </w:tc>
      </w:tr>
    </w:tbl>
    <w:p w:rsidR="00957C6A" w:rsidRPr="004F4F2A" w:rsidRDefault="00957C6A" w:rsidP="00957C6A">
      <w:pPr>
        <w:jc w:val="both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957C6A" w:rsidRPr="004F4F2A" w:rsidTr="00957C6A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7C6A" w:rsidRPr="004F4F2A" w:rsidRDefault="00957C6A" w:rsidP="003537C8">
            <w:pPr>
              <w:jc w:val="both"/>
              <w:rPr>
                <w:b/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basis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 w:rsidRPr="0001511D">
              <w:rPr>
                <w:b/>
                <w:sz w:val="20"/>
                <w:szCs w:val="20"/>
              </w:rPr>
              <w:t>1</w:t>
            </w: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solve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with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basic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Gather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well</w:t>
            </w:r>
            <w:proofErr w:type="spellEnd"/>
            <w:r w:rsidRPr="004F4F2A">
              <w:rPr>
                <w:sz w:val="20"/>
                <w:szCs w:val="20"/>
              </w:rPr>
              <w:t xml:space="preserve"> as </w:t>
            </w:r>
            <w:proofErr w:type="spellStart"/>
            <w:r w:rsidRPr="004F4F2A">
              <w:rPr>
                <w:sz w:val="20"/>
                <w:szCs w:val="20"/>
              </w:rPr>
              <w:t>apply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knowledge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health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Function</w:t>
            </w:r>
            <w:proofErr w:type="spellEnd"/>
            <w:r w:rsidRPr="004F4F2A">
              <w:rPr>
                <w:sz w:val="20"/>
                <w:szCs w:val="20"/>
              </w:rPr>
              <w:t xml:space="preserve"> on </w:t>
            </w:r>
            <w:proofErr w:type="spellStart"/>
            <w:r w:rsidRPr="004F4F2A">
              <w:rPr>
                <w:sz w:val="20"/>
                <w:szCs w:val="20"/>
              </w:rPr>
              <w:t>multi-disciplinary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Identify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formulate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solve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Nursing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institutions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education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Use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effective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written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oral </w:t>
            </w:r>
            <w:proofErr w:type="spellStart"/>
            <w:r w:rsidRPr="004F4F2A">
              <w:rPr>
                <w:sz w:val="20"/>
                <w:szCs w:val="20"/>
              </w:rPr>
              <w:t>communication</w:t>
            </w:r>
            <w:proofErr w:type="spellEnd"/>
            <w:r w:rsidRPr="004F4F2A">
              <w:rPr>
                <w:sz w:val="20"/>
                <w:szCs w:val="20"/>
              </w:rPr>
              <w:t>/</w:t>
            </w:r>
            <w:proofErr w:type="spellStart"/>
            <w:r w:rsidRPr="004F4F2A">
              <w:rPr>
                <w:sz w:val="20"/>
                <w:szCs w:val="20"/>
              </w:rPr>
              <w:t>presentation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 w:rsidRPr="0001511D">
              <w:rPr>
                <w:b/>
                <w:sz w:val="20"/>
                <w:szCs w:val="20"/>
              </w:rPr>
              <w:t>1</w:t>
            </w: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understanding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professional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ethical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sz w:val="20"/>
                <w:szCs w:val="20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proofErr w:type="spellStart"/>
            <w:r w:rsidRPr="004F4F2A">
              <w:rPr>
                <w:sz w:val="20"/>
                <w:szCs w:val="20"/>
              </w:rPr>
              <w:t>Get</w:t>
            </w:r>
            <w:proofErr w:type="spellEnd"/>
            <w:r w:rsidRPr="004F4F2A">
              <w:rPr>
                <w:sz w:val="20"/>
                <w:szCs w:val="20"/>
              </w:rPr>
              <w:t xml:space="preserve"> a </w:t>
            </w:r>
            <w:proofErr w:type="spellStart"/>
            <w:r w:rsidRPr="004F4F2A">
              <w:rPr>
                <w:sz w:val="20"/>
                <w:szCs w:val="20"/>
              </w:rPr>
              <w:t>recognition</w:t>
            </w:r>
            <w:proofErr w:type="spellEnd"/>
            <w:r w:rsidRPr="004F4F2A">
              <w:rPr>
                <w:sz w:val="20"/>
                <w:szCs w:val="20"/>
              </w:rPr>
              <w:t xml:space="preserve"> of </w:t>
            </w:r>
            <w:proofErr w:type="spellStart"/>
            <w:r w:rsidRPr="004F4F2A">
              <w:rPr>
                <w:sz w:val="20"/>
                <w:szCs w:val="20"/>
              </w:rPr>
              <w:t>the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need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for</w:t>
            </w:r>
            <w:proofErr w:type="spellEnd"/>
            <w:r w:rsidRPr="004F4F2A">
              <w:rPr>
                <w:sz w:val="20"/>
                <w:szCs w:val="20"/>
              </w:rPr>
              <w:t xml:space="preserve">, </w:t>
            </w:r>
            <w:proofErr w:type="spellStart"/>
            <w:r w:rsidRPr="004F4F2A">
              <w:rPr>
                <w:sz w:val="20"/>
                <w:szCs w:val="20"/>
              </w:rPr>
              <w:t>and</w:t>
            </w:r>
            <w:proofErr w:type="spellEnd"/>
            <w:r w:rsidRPr="004F4F2A">
              <w:rPr>
                <w:sz w:val="20"/>
                <w:szCs w:val="20"/>
              </w:rPr>
              <w:t xml:space="preserve"> an </w:t>
            </w:r>
            <w:proofErr w:type="spellStart"/>
            <w:r w:rsidRPr="004F4F2A">
              <w:rPr>
                <w:sz w:val="20"/>
                <w:szCs w:val="20"/>
              </w:rPr>
              <w:t>ability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to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engage</w:t>
            </w:r>
            <w:proofErr w:type="spellEnd"/>
            <w:r w:rsidRPr="004F4F2A">
              <w:rPr>
                <w:sz w:val="20"/>
                <w:szCs w:val="20"/>
              </w:rPr>
              <w:t xml:space="preserve"> in </w:t>
            </w:r>
            <w:proofErr w:type="spellStart"/>
            <w:r w:rsidRPr="004F4F2A">
              <w:rPr>
                <w:sz w:val="20"/>
                <w:szCs w:val="20"/>
              </w:rPr>
              <w:t>lifelong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70E" w:rsidRPr="004B7673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370E" w:rsidRPr="0001511D" w:rsidRDefault="00DE370E" w:rsidP="00DE370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E370E" w:rsidRPr="004F4F2A" w:rsidTr="00957C6A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70E" w:rsidRPr="004F4F2A" w:rsidRDefault="00DE370E" w:rsidP="00DE370E">
            <w:pPr>
              <w:jc w:val="both"/>
              <w:rPr>
                <w:sz w:val="20"/>
                <w:szCs w:val="20"/>
              </w:rPr>
            </w:pPr>
            <w:r w:rsidRPr="004F4F2A">
              <w:rPr>
                <w:b/>
                <w:sz w:val="20"/>
                <w:szCs w:val="20"/>
              </w:rPr>
              <w:t>1</w:t>
            </w:r>
            <w:r w:rsidRPr="004F4F2A">
              <w:rPr>
                <w:sz w:val="20"/>
                <w:szCs w:val="20"/>
              </w:rPr>
              <w:t xml:space="preserve">:No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 Yok. </w:t>
            </w:r>
            <w:r w:rsidRPr="004F4F2A">
              <w:rPr>
                <w:b/>
                <w:sz w:val="20"/>
                <w:szCs w:val="20"/>
              </w:rPr>
              <w:t>2</w:t>
            </w:r>
            <w:r w:rsidRPr="004F4F2A">
              <w:rPr>
                <w:sz w:val="20"/>
                <w:szCs w:val="20"/>
              </w:rPr>
              <w:t xml:space="preserve">:Partially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  <w:r w:rsidRPr="004F4F2A">
              <w:rPr>
                <w:sz w:val="20"/>
                <w:szCs w:val="20"/>
              </w:rPr>
              <w:t xml:space="preserve">. </w:t>
            </w:r>
            <w:r w:rsidRPr="004F4F2A">
              <w:rPr>
                <w:b/>
                <w:sz w:val="20"/>
                <w:szCs w:val="20"/>
              </w:rPr>
              <w:t>3</w:t>
            </w:r>
            <w:r w:rsidRPr="004F4F2A">
              <w:rPr>
                <w:sz w:val="20"/>
                <w:szCs w:val="20"/>
              </w:rPr>
              <w:t xml:space="preserve">: </w:t>
            </w:r>
            <w:proofErr w:type="spellStart"/>
            <w:r w:rsidRPr="004F4F2A">
              <w:rPr>
                <w:sz w:val="20"/>
                <w:szCs w:val="20"/>
              </w:rPr>
              <w:t>Yes</w:t>
            </w:r>
            <w:proofErr w:type="spellEnd"/>
            <w:r w:rsidRPr="004F4F2A">
              <w:rPr>
                <w:sz w:val="20"/>
                <w:szCs w:val="20"/>
              </w:rPr>
              <w:t xml:space="preserve"> </w:t>
            </w:r>
            <w:proofErr w:type="spellStart"/>
            <w:r w:rsidRPr="004F4F2A">
              <w:rPr>
                <w:sz w:val="20"/>
                <w:szCs w:val="20"/>
              </w:rPr>
              <w:t>contribution</w:t>
            </w:r>
            <w:proofErr w:type="spellEnd"/>
          </w:p>
        </w:tc>
      </w:tr>
    </w:tbl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Default="00957C6A" w:rsidP="00957C6A">
      <w:pPr>
        <w:jc w:val="both"/>
        <w:rPr>
          <w:b/>
          <w:sz w:val="20"/>
          <w:szCs w:val="20"/>
        </w:rPr>
      </w:pPr>
    </w:p>
    <w:p w:rsidR="00957C6A" w:rsidRPr="004F4F2A" w:rsidRDefault="00957C6A" w:rsidP="00957C6A">
      <w:pPr>
        <w:jc w:val="both"/>
        <w:rPr>
          <w:sz w:val="20"/>
          <w:szCs w:val="20"/>
        </w:rPr>
        <w:sectPr w:rsidR="00957C6A" w:rsidRPr="004F4F2A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r w:rsidRPr="004F4F2A">
        <w:rPr>
          <w:b/>
          <w:sz w:val="20"/>
          <w:szCs w:val="20"/>
        </w:rPr>
        <w:t>Date</w:t>
      </w:r>
      <w:proofErr w:type="spellEnd"/>
      <w:r w:rsidRPr="004F4F2A">
        <w:rPr>
          <w:b/>
          <w:sz w:val="20"/>
          <w:szCs w:val="20"/>
        </w:rPr>
        <w:t xml:space="preserve">               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  <w:proofErr w:type="spellStart"/>
      <w:r w:rsidRPr="004F4F2A">
        <w:rPr>
          <w:b/>
          <w:sz w:val="20"/>
          <w:szCs w:val="20"/>
        </w:rPr>
        <w:t>Signature</w:t>
      </w:r>
      <w:proofErr w:type="spellEnd"/>
      <w:r w:rsidRPr="004F4F2A">
        <w:rPr>
          <w:sz w:val="20"/>
          <w:szCs w:val="20"/>
        </w:rPr>
        <w:t xml:space="preserve"> </w:t>
      </w:r>
      <w:r w:rsidRPr="004F4F2A">
        <w:rPr>
          <w:b/>
          <w:sz w:val="20"/>
          <w:szCs w:val="20"/>
        </w:rPr>
        <w:tab/>
      </w:r>
      <w:r w:rsidRPr="004F4F2A">
        <w:rPr>
          <w:b/>
          <w:sz w:val="20"/>
          <w:szCs w:val="20"/>
        </w:rPr>
        <w:tab/>
      </w:r>
    </w:p>
    <w:p w:rsidR="005455ED" w:rsidRDefault="005455ED"/>
    <w:sectPr w:rsidR="005455ED" w:rsidSect="0054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E4529"/>
    <w:multiLevelType w:val="hybridMultilevel"/>
    <w:tmpl w:val="9F6450E0"/>
    <w:lvl w:ilvl="0" w:tplc="083A1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A"/>
    <w:rsid w:val="00197E13"/>
    <w:rsid w:val="005455ED"/>
    <w:rsid w:val="006C2BBB"/>
    <w:rsid w:val="00752D47"/>
    <w:rsid w:val="0088674C"/>
    <w:rsid w:val="00957C6A"/>
    <w:rsid w:val="009D407A"/>
    <w:rsid w:val="00AD7913"/>
    <w:rsid w:val="00CC3E5E"/>
    <w:rsid w:val="00DE370E"/>
    <w:rsid w:val="00F74584"/>
    <w:rsid w:val="00FD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E37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D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D47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rsid w:val="00957C6A"/>
  </w:style>
  <w:style w:type="character" w:customStyle="1" w:styleId="shorttext">
    <w:name w:val="short_text"/>
    <w:rsid w:val="00957C6A"/>
  </w:style>
  <w:style w:type="character" w:customStyle="1" w:styleId="hpsatn">
    <w:name w:val="hps atn"/>
    <w:basedOn w:val="VarsaylanParagrafYazTipi"/>
    <w:rsid w:val="00957C6A"/>
  </w:style>
  <w:style w:type="paragraph" w:styleId="AralkYok">
    <w:name w:val="No Spacing"/>
    <w:uiPriority w:val="1"/>
    <w:qFormat/>
    <w:rsid w:val="0095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E370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2D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2D4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2017-04-19T11:30:00Z</cp:lastPrinted>
  <dcterms:created xsi:type="dcterms:W3CDTF">2017-11-13T11:45:00Z</dcterms:created>
  <dcterms:modified xsi:type="dcterms:W3CDTF">2017-11-13T11:45:00Z</dcterms:modified>
</cp:coreProperties>
</file>