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61" w:rsidRPr="004B7673" w:rsidRDefault="003A3806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A61" w:rsidRPr="004B7673" w:rsidRDefault="00136A61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977" w:type="dxa"/>
        <w:tblInd w:w="6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7"/>
        <w:gridCol w:w="1560"/>
      </w:tblGrid>
      <w:tr w:rsidR="00136A61" w:rsidRPr="004B7673" w:rsidTr="00357C84">
        <w:tc>
          <w:tcPr>
            <w:tcW w:w="1417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60" w:type="dxa"/>
            <w:vAlign w:val="center"/>
          </w:tcPr>
          <w:p w:rsidR="00136A61" w:rsidRPr="003A3806" w:rsidRDefault="003A380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</w:tr>
    </w:tbl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618"/>
      </w:tblGrid>
      <w:tr w:rsidR="00136A61" w:rsidRPr="004B7673" w:rsidTr="003A3806">
        <w:tc>
          <w:tcPr>
            <w:tcW w:w="1668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SAĞLIK HUKUKU ve HEMŞİRELİK</w:t>
            </w:r>
          </w:p>
        </w:tc>
        <w:tc>
          <w:tcPr>
            <w:tcW w:w="1560" w:type="dxa"/>
            <w:vAlign w:val="center"/>
          </w:tcPr>
          <w:p w:rsidR="00136A61" w:rsidRPr="003A3806" w:rsidRDefault="00136A61" w:rsidP="003A3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618" w:type="dxa"/>
          </w:tcPr>
          <w:p w:rsidR="00136A61" w:rsidRPr="003A3806" w:rsidRDefault="003A3806" w:rsidP="003A3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281115004</w:t>
            </w:r>
            <w:proofErr w:type="gramEnd"/>
          </w:p>
        </w:tc>
      </w:tr>
    </w:tbl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2502"/>
      </w:tblGrid>
      <w:tr w:rsidR="00136A61" w:rsidRPr="004B7673" w:rsidTr="003A3806">
        <w:trPr>
          <w:trHeight w:val="496"/>
        </w:trPr>
        <w:tc>
          <w:tcPr>
            <w:tcW w:w="1928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136A61" w:rsidRPr="00200DC8" w:rsidRDefault="003A3806" w:rsidP="00F46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  <w:tc>
          <w:tcPr>
            <w:tcW w:w="203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502" w:type="dxa"/>
            <w:vAlign w:val="center"/>
          </w:tcPr>
          <w:p w:rsidR="00136A61" w:rsidRPr="003A3806" w:rsidRDefault="003A3806" w:rsidP="00F46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</w:tr>
    </w:tbl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1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1"/>
        <w:gridCol w:w="1203"/>
        <w:gridCol w:w="298"/>
        <w:gridCol w:w="1043"/>
        <w:gridCol w:w="936"/>
        <w:gridCol w:w="213"/>
        <w:gridCol w:w="989"/>
        <w:gridCol w:w="1431"/>
        <w:gridCol w:w="1383"/>
      </w:tblGrid>
      <w:tr w:rsidR="00136A61" w:rsidRPr="004B7673" w:rsidTr="00F7041D">
        <w:trPr>
          <w:trHeight w:val="383"/>
        </w:trPr>
        <w:tc>
          <w:tcPr>
            <w:tcW w:w="5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578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F7041D">
        <w:trPr>
          <w:trHeight w:val="382"/>
        </w:trPr>
        <w:tc>
          <w:tcPr>
            <w:tcW w:w="598" w:type="pct"/>
            <w:vMerge/>
            <w:tcBorders>
              <w:right w:val="single" w:sz="12" w:space="0" w:color="auto"/>
            </w:tcBorders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26" w:type="pct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97" w:type="pct"/>
            <w:gridSpan w:val="2"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87" w:type="pct"/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26" w:type="pct"/>
            <w:gridSpan w:val="2"/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44" w:type="pct"/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21" w:type="pct"/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136A61" w:rsidRPr="004B7673" w:rsidTr="00F7041D">
        <w:trPr>
          <w:trHeight w:val="367"/>
        </w:trPr>
        <w:tc>
          <w:tcPr>
            <w:tcW w:w="59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3A3806" w:rsidRDefault="003A3806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:rsidR="00136A61" w:rsidRPr="003A3806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A38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136A61" w:rsidRPr="004B7673" w:rsidTr="003A3806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136A61" w:rsidRPr="004B7673" w:rsidTr="00F7041D">
        <w:tc>
          <w:tcPr>
            <w:tcW w:w="1879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26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36A61" w:rsidRPr="004B7673" w:rsidRDefault="00136A61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%40</w:t>
            </w: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60" w:type="pct"/>
            <w:gridSpan w:val="2"/>
            <w:tcBorders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60" w:type="pct"/>
            <w:gridSpan w:val="2"/>
            <w:tcBorders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lef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60" w:type="pct"/>
            <w:gridSpan w:val="2"/>
            <w:tcBorders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6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%60</w:t>
            </w:r>
          </w:p>
        </w:tc>
      </w:tr>
      <w:tr w:rsidR="00136A61" w:rsidRPr="004B7673" w:rsidTr="00F7041D">
        <w:tc>
          <w:tcPr>
            <w:tcW w:w="1879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26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36A61" w:rsidRPr="004B7673" w:rsidRDefault="00136A61" w:rsidP="00F46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%100</w:t>
            </w:r>
          </w:p>
        </w:tc>
      </w:tr>
      <w:tr w:rsidR="00136A61" w:rsidRPr="004B7673" w:rsidTr="003A3806">
        <w:trPr>
          <w:trHeight w:val="447"/>
        </w:trPr>
        <w:tc>
          <w:tcPr>
            <w:tcW w:w="187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A61" w:rsidRPr="00F461DB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3A3806">
        <w:trPr>
          <w:trHeight w:val="447"/>
        </w:trPr>
        <w:tc>
          <w:tcPr>
            <w:tcW w:w="187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6A61" w:rsidRPr="00E63B9D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Bu ders; sağlık hukuku, sağlık çalışanlarının hukuka dayalı hak ve sorumlulukları ilgili bilgi içerir.</w:t>
            </w:r>
          </w:p>
        </w:tc>
      </w:tr>
      <w:tr w:rsidR="00136A61" w:rsidRPr="004B7673" w:rsidTr="003A3806">
        <w:trPr>
          <w:trHeight w:val="426"/>
        </w:trPr>
        <w:tc>
          <w:tcPr>
            <w:tcW w:w="187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6A61" w:rsidRPr="00E63B9D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 xml:space="preserve">Bu dersin amacı, sağlık çalışanlarının hukuka dayalı hak ve sorumlulukları, sağlık ve hemşirelikle ilgili kanun ve yönetmelikler, hasta ve çalışan hakları, uygulamalarda istenmeyen olaylar ve </w:t>
            </w:r>
            <w:proofErr w:type="spellStart"/>
            <w:r w:rsidRPr="00E63B9D">
              <w:rPr>
                <w:rFonts w:ascii="Times New Roman" w:hAnsi="Times New Roman"/>
                <w:sz w:val="20"/>
                <w:szCs w:val="20"/>
              </w:rPr>
              <w:t>malpraktis</w:t>
            </w:r>
            <w:proofErr w:type="spellEnd"/>
            <w:r w:rsidRPr="00E63B9D">
              <w:rPr>
                <w:rFonts w:ascii="Times New Roman" w:hAnsi="Times New Roman"/>
                <w:sz w:val="20"/>
                <w:szCs w:val="20"/>
              </w:rPr>
              <w:t>, ulusal ve uluslararası kuruluşların sağlık ve hemşireliğe ilişkin kararları konusunda bilgilendirmektir.</w:t>
            </w:r>
          </w:p>
        </w:tc>
      </w:tr>
      <w:tr w:rsidR="00136A61" w:rsidRPr="004B7673" w:rsidTr="003A3806">
        <w:trPr>
          <w:trHeight w:val="426"/>
        </w:trPr>
        <w:tc>
          <w:tcPr>
            <w:tcW w:w="187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 xml:space="preserve">Sağlık hukuku </w:t>
            </w:r>
            <w:r>
              <w:rPr>
                <w:rFonts w:ascii="Times New Roman" w:hAnsi="Times New Roman"/>
                <w:sz w:val="20"/>
                <w:szCs w:val="20"/>
              </w:rPr>
              <w:t>konusunu bilme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 çalışanlarının v</w:t>
            </w:r>
            <w:r>
              <w:rPr>
                <w:rFonts w:ascii="Times New Roman" w:hAnsi="Times New Roman"/>
                <w:sz w:val="20"/>
                <w:szCs w:val="20"/>
              </w:rPr>
              <w:t>e hemşirelerin haklarını bilme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Sağlık </w:t>
            </w:r>
            <w:r w:rsidRPr="00E63B9D">
              <w:rPr>
                <w:rFonts w:ascii="Times New Roman" w:hAnsi="Times New Roman"/>
                <w:sz w:val="20"/>
                <w:szCs w:val="20"/>
              </w:rPr>
              <w:t>organizasyonlarında çalışanlarının ve hemşirelerin huku</w:t>
            </w:r>
            <w:r>
              <w:rPr>
                <w:rFonts w:ascii="Times New Roman" w:hAnsi="Times New Roman"/>
                <w:sz w:val="20"/>
                <w:szCs w:val="20"/>
              </w:rPr>
              <w:t>ki sorumluluğunu kavrayabilme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Hemşireliğe ilişkin yasaların kapsam ve sınırlıl</w:t>
            </w:r>
            <w:r>
              <w:rPr>
                <w:rFonts w:ascii="Times New Roman" w:hAnsi="Times New Roman"/>
                <w:sz w:val="20"/>
                <w:szCs w:val="20"/>
              </w:rPr>
              <w:t>ıklarını bilme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 kuruluşlarının sorumlulukları</w:t>
            </w:r>
            <w:r>
              <w:rPr>
                <w:rFonts w:ascii="Times New Roman" w:hAnsi="Times New Roman"/>
                <w:sz w:val="20"/>
                <w:szCs w:val="20"/>
              </w:rPr>
              <w:t>nı hakkında bilgi sahibi olma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 xml:space="preserve">Ülkemizin sağlık politikaları hakkında </w:t>
            </w:r>
            <w:r>
              <w:rPr>
                <w:rFonts w:ascii="Times New Roman" w:hAnsi="Times New Roman"/>
                <w:sz w:val="20"/>
                <w:szCs w:val="20"/>
              </w:rPr>
              <w:t>genel bir bilgiye sahibi olma</w:t>
            </w:r>
          </w:p>
          <w:p w:rsidR="00136A61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 ve hemşirelikle ilgili uluslararası kuruluşl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 hakkında bilgi sahibi olma </w:t>
            </w:r>
            <w:r w:rsidRPr="00E63B9D">
              <w:rPr>
                <w:rFonts w:ascii="Times New Roman" w:hAnsi="Times New Roman"/>
                <w:sz w:val="20"/>
                <w:szCs w:val="20"/>
              </w:rPr>
              <w:t>Sağlık ve hemşirelikle ilgili uluslararası bildirgel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erle ilgili bilgi sahibi olma </w:t>
            </w:r>
            <w:r w:rsidRPr="00E63B9D">
              <w:rPr>
                <w:rFonts w:ascii="Times New Roman" w:hAnsi="Times New Roman"/>
                <w:sz w:val="20"/>
                <w:szCs w:val="20"/>
              </w:rPr>
              <w:t>Uluslararası Çalışma Örgütü ve hemşirelik sözleşmesinin kapsa</w:t>
            </w:r>
            <w:r>
              <w:rPr>
                <w:rFonts w:ascii="Times New Roman" w:hAnsi="Times New Roman"/>
                <w:sz w:val="20"/>
                <w:szCs w:val="20"/>
              </w:rPr>
              <w:t>mı hakkında bilgi sahibi olma</w:t>
            </w:r>
          </w:p>
          <w:p w:rsidR="00136A61" w:rsidRPr="00E63B9D" w:rsidRDefault="00136A61" w:rsidP="00E6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 uygulamalarında oluşabilecek istenmeyen olayların yasal boyutu hakkında bilgi sahibi olma</w:t>
            </w:r>
          </w:p>
        </w:tc>
      </w:tr>
      <w:tr w:rsidR="00136A61" w:rsidRPr="004B7673" w:rsidTr="003A3806">
        <w:trPr>
          <w:trHeight w:val="704"/>
        </w:trPr>
        <w:tc>
          <w:tcPr>
            <w:tcW w:w="18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136A61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Baykal Ü, Türkmen E. (</w:t>
            </w:r>
            <w:proofErr w:type="spellStart"/>
            <w:r w:rsidRPr="00200DC8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200DC8">
              <w:rPr>
                <w:rFonts w:ascii="Times New Roman" w:hAnsi="Times New Roman"/>
                <w:sz w:val="20"/>
                <w:szCs w:val="20"/>
              </w:rPr>
              <w:t>). Hemşirelik Hizmetleri Yönetimi, Akademi Basın Yayın, 2014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Hemşirelik Kanunu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657 sayılı Devlet Memurları Kanunu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4857 sayılı İş Kanunu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224 sayılı Sağlık Hizmetlerinin Sosyalleştirilmesine İlişkin Kanun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>Türk Ceza Kanunu</w:t>
            </w:r>
          </w:p>
          <w:p w:rsidR="00136A61" w:rsidRPr="00200DC8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lastRenderedPageBreak/>
              <w:t>T.C. Sağlık Bakanlığı Stratejik Plan: 2010-2014, T.C. Sağlık Bakanlığı Yayını,  Ankara.2010.</w:t>
            </w:r>
          </w:p>
          <w:p w:rsidR="00136A61" w:rsidRPr="000F7F14" w:rsidRDefault="00136A61" w:rsidP="00200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0DC8">
              <w:rPr>
                <w:rFonts w:ascii="Times New Roman" w:hAnsi="Times New Roman"/>
                <w:sz w:val="20"/>
                <w:szCs w:val="20"/>
              </w:rPr>
              <w:t xml:space="preserve">Sur H, </w:t>
            </w:r>
            <w:proofErr w:type="spellStart"/>
            <w:r w:rsidRPr="00200DC8">
              <w:rPr>
                <w:rFonts w:ascii="Times New Roman" w:hAnsi="Times New Roman"/>
                <w:sz w:val="20"/>
                <w:szCs w:val="20"/>
              </w:rPr>
              <w:t>Palteki</w:t>
            </w:r>
            <w:proofErr w:type="spellEnd"/>
            <w:r w:rsidRPr="00200DC8">
              <w:rPr>
                <w:rFonts w:ascii="Times New Roman" w:hAnsi="Times New Roman"/>
                <w:sz w:val="20"/>
                <w:szCs w:val="20"/>
              </w:rPr>
              <w:t xml:space="preserve"> T. (ed.) “Hastane Yönetimi” Nobel Tıp Kitapevleri, İstanbul, 2013.</w:t>
            </w:r>
          </w:p>
        </w:tc>
      </w:tr>
      <w:tr w:rsidR="00136A61" w:rsidRPr="004B7673" w:rsidTr="003A3806">
        <w:trPr>
          <w:trHeight w:val="330"/>
        </w:trPr>
        <w:tc>
          <w:tcPr>
            <w:tcW w:w="187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ÖĞRETİM YÖNTEMLERİ</w:t>
            </w:r>
          </w:p>
        </w:tc>
        <w:tc>
          <w:tcPr>
            <w:tcW w:w="31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6A61" w:rsidRPr="00E63B9D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Düz anlatım, soru-cevap, tartışma, grup çalışmaları, vaka sunumu, beyin fırtınası.</w:t>
            </w:r>
          </w:p>
        </w:tc>
      </w:tr>
    </w:tbl>
    <w:p w:rsidR="00136A61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A61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136A61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136A61" w:rsidRPr="004B7673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</w:tcPr>
          <w:p w:rsidR="00136A61" w:rsidRPr="004B7673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</w:tcPr>
          <w:p w:rsidR="00136A61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  <w:p w:rsidR="00136A61" w:rsidRPr="004B7673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 Sistemi ve Hemşirelik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224 sayılı Sağlık Hizmetlerinin Sosyalleştirilmesine İlişkin Kanun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Sağlıkta Dönüşüm Projesi Parametreleri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663 Sayılı Kanun Hükmünde Kararname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Hemşirelik Kanunu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Hemşirelik Yönetmelikleri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657 sayılı Devlet Memurları Kanunu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4857 sayılı İş Kanunu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Uluslararası Çalışma Örgütü (ILO) hemşirelik mevzuatı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Hemşirelikle ilgili uluslararası kararlar (Alma Ata, Viyana, Münih)- Sağlık 21 hedefleri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Hemşirelikte Örgütlenme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</w:tcPr>
          <w:p w:rsidR="00136A61" w:rsidRPr="00E63B9D" w:rsidRDefault="00136A61" w:rsidP="00200DC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Hasta ve çalışan güvenliği mevzuatı</w:t>
            </w:r>
          </w:p>
        </w:tc>
      </w:tr>
      <w:tr w:rsidR="00136A61" w:rsidRPr="004B7673" w:rsidTr="00B7532B">
        <w:trPr>
          <w:jc w:val="center"/>
        </w:trPr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:rsidR="00136A61" w:rsidRPr="000F7F14" w:rsidRDefault="00136A61" w:rsidP="00200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bottom w:val="single" w:sz="12" w:space="0" w:color="auto"/>
            </w:tcBorders>
          </w:tcPr>
          <w:p w:rsidR="00136A61" w:rsidRPr="00E63B9D" w:rsidRDefault="00136A61" w:rsidP="00200D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B9D">
              <w:rPr>
                <w:rFonts w:ascii="Times New Roman" w:hAnsi="Times New Roman"/>
                <w:sz w:val="20"/>
                <w:szCs w:val="20"/>
              </w:rPr>
              <w:t>Türk Ceza Kanunu ve Hemşirelik</w:t>
            </w:r>
          </w:p>
        </w:tc>
      </w:tr>
    </w:tbl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136A61" w:rsidRPr="004B7673" w:rsidTr="00634A9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36A61" w:rsidRPr="001647C4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136A61" w:rsidRPr="001647C4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rPr>
          <w:trHeight w:val="429"/>
        </w:trPr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603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136A61" w:rsidRPr="004B7673" w:rsidRDefault="00136A61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A61" w:rsidRPr="004B7673" w:rsidTr="00634A9A">
        <w:tc>
          <w:tcPr>
            <w:tcW w:w="10013" w:type="dxa"/>
            <w:gridSpan w:val="5"/>
            <w:tcBorders>
              <w:bottom w:val="single" w:sz="12" w:space="0" w:color="auto"/>
            </w:tcBorders>
            <w:vAlign w:val="center"/>
          </w:tcPr>
          <w:p w:rsidR="00136A61" w:rsidRPr="004B7673" w:rsidRDefault="00136A6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136A61" w:rsidRDefault="00136A6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6A61" w:rsidRDefault="00136A6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136A61" w:rsidRPr="004B7673" w:rsidRDefault="00136A61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136A61" w:rsidRDefault="00F7041D" w:rsidP="00B7532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01.11.2017</w:t>
      </w:r>
    </w:p>
    <w:p w:rsidR="00866831" w:rsidRDefault="00866831" w:rsidP="00B7532B">
      <w:pPr>
        <w:rPr>
          <w:rFonts w:ascii="Times New Roman" w:hAnsi="Times New Roman"/>
          <w:b/>
          <w:sz w:val="20"/>
          <w:szCs w:val="20"/>
        </w:rPr>
      </w:pPr>
    </w:p>
    <w:p w:rsidR="00866831" w:rsidRDefault="00866831" w:rsidP="00B7532B">
      <w:pPr>
        <w:rPr>
          <w:rFonts w:ascii="Times New Roman" w:hAnsi="Times New Roman"/>
          <w:b/>
          <w:sz w:val="20"/>
          <w:szCs w:val="20"/>
        </w:rPr>
      </w:pPr>
    </w:p>
    <w:p w:rsidR="00866831" w:rsidRDefault="00866831" w:rsidP="00B7532B">
      <w:pPr>
        <w:rPr>
          <w:rFonts w:ascii="Times New Roman" w:hAnsi="Times New Roman"/>
          <w:b/>
          <w:sz w:val="20"/>
          <w:szCs w:val="20"/>
        </w:rPr>
      </w:pPr>
    </w:p>
    <w:p w:rsidR="00866831" w:rsidRDefault="00866831" w:rsidP="00B7532B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866831" w:rsidRPr="00866831" w:rsidRDefault="00866831" w:rsidP="00866831">
      <w:pPr>
        <w:shd w:val="clear" w:color="auto" w:fill="F5F5F5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866831"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5DC3D513" wp14:editId="3CD215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831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866831" w:rsidRPr="00866831" w:rsidRDefault="00866831" w:rsidP="0086683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66831" w:rsidRPr="00866831" w:rsidTr="008D7563">
        <w:tc>
          <w:tcPr>
            <w:tcW w:w="1167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527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AUTUMN</w:t>
            </w:r>
          </w:p>
        </w:tc>
      </w:tr>
    </w:tbl>
    <w:p w:rsidR="00866831" w:rsidRPr="00866831" w:rsidRDefault="00866831" w:rsidP="0086683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866831" w:rsidRPr="00866831" w:rsidTr="008D7563">
        <w:tc>
          <w:tcPr>
            <w:tcW w:w="3510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HEALTH LAW AND NURSING</w:t>
            </w:r>
          </w:p>
        </w:tc>
        <w:tc>
          <w:tcPr>
            <w:tcW w:w="1559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553" w:type="dxa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281115004</w:t>
            </w:r>
            <w:proofErr w:type="gramEnd"/>
          </w:p>
        </w:tc>
      </w:tr>
    </w:tbl>
    <w:p w:rsidR="00866831" w:rsidRPr="00866831" w:rsidRDefault="00866831" w:rsidP="0086683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866831" w:rsidRPr="00866831" w:rsidTr="008D7563">
        <w:trPr>
          <w:trHeight w:val="538"/>
        </w:trPr>
        <w:tc>
          <w:tcPr>
            <w:tcW w:w="244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Yrd. Doç. Dr. Aysun TÜRE YILMAZ</w:t>
            </w:r>
          </w:p>
        </w:tc>
        <w:tc>
          <w:tcPr>
            <w:tcW w:w="244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Yrd. Doç. Dr. Aysun TÜRE YILMAZ</w:t>
            </w:r>
          </w:p>
        </w:tc>
      </w:tr>
    </w:tbl>
    <w:p w:rsidR="00866831" w:rsidRPr="00866831" w:rsidRDefault="00866831" w:rsidP="0086683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40"/>
        <w:gridCol w:w="1030"/>
        <w:gridCol w:w="716"/>
        <w:gridCol w:w="678"/>
        <w:gridCol w:w="805"/>
        <w:gridCol w:w="627"/>
        <w:gridCol w:w="79"/>
        <w:gridCol w:w="2098"/>
        <w:gridCol w:w="1604"/>
      </w:tblGrid>
      <w:tr w:rsidR="00866831" w:rsidRPr="00866831" w:rsidTr="008D7563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rPr>
          <w:trHeight w:val="382"/>
        </w:trPr>
        <w:tc>
          <w:tcPr>
            <w:tcW w:w="713" w:type="pct"/>
            <w:vMerge/>
            <w:tcBorders>
              <w:right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pct"/>
            <w:tcBorders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21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11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866831" w:rsidRPr="00866831" w:rsidTr="008D7563">
        <w:trPr>
          <w:trHeight w:val="367"/>
        </w:trPr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7" w:type="pct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01" w:type="pct"/>
            <w:gridSpan w:val="2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ELECTİVE</w:t>
            </w: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TURKİSH</w:t>
            </w:r>
          </w:p>
        </w:tc>
      </w:tr>
      <w:tr w:rsidR="00866831" w:rsidRPr="00866831" w:rsidTr="008D7563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866831" w:rsidRPr="00866831" w:rsidTr="008D7563">
        <w:tc>
          <w:tcPr>
            <w:tcW w:w="2021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First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%40</w:t>
            </w: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Second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lef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lef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Presentation/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bottom w:val="single" w:sz="8" w:space="0" w:color="auto"/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left w:val="single" w:sz="8" w:space="0" w:color="auto"/>
              <w:bottom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%60</w:t>
            </w:r>
          </w:p>
        </w:tc>
      </w:tr>
      <w:tr w:rsidR="00866831" w:rsidRPr="00866831" w:rsidTr="008D7563">
        <w:tc>
          <w:tcPr>
            <w:tcW w:w="2021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%100</w:t>
            </w:r>
          </w:p>
        </w:tc>
      </w:tr>
      <w:tr w:rsidR="00866831" w:rsidRPr="00866831" w:rsidTr="008D7563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This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course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involves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rights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responsibilities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employees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aim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this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course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inform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rights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responsibilities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employees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acts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guides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rights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employees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patients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adverse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events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malpractice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decisions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national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interntional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enterprises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  <w:proofErr w:type="gramEnd"/>
          </w:p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student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;</w:t>
            </w:r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subject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subject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sides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rights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employees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nurses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Digests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jural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responsibility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employees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organizations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scope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limitations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acts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responsibilities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enterprises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national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politics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generally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national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international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enterprises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nursing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about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international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reports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International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Labour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Organization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its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contract</w:t>
            </w:r>
            <w:proofErr w:type="spellEnd"/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Knows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about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legal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aspect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adverse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events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that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may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occur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practise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  <w:t>.</w:t>
            </w:r>
          </w:p>
          <w:p w:rsidR="00866831" w:rsidRPr="00866831" w:rsidRDefault="00866831" w:rsidP="00866831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tr-TR"/>
              </w:rPr>
            </w:pPr>
          </w:p>
        </w:tc>
      </w:tr>
      <w:tr w:rsidR="00866831" w:rsidRPr="00866831" w:rsidTr="008D7563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Baykal Ü, Türkmen E. (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). Hemşirelik Hizmetleri Yönetimi, Akademi Basın Yayın, 2014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Hemşirelik Kanunu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657 sayılı Devlet Memurları Kanunu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4857 sayılı İş Kanunu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224 sayılı Sağlık Hizmetlerinin Sosyalleştirilmesine İlişkin Kanun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Ceza Kanunu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T.C. Sağlık Bakanlığı Stratejik Plan: 2010-2014, T.C. Sağlık Bakanlığı Yayını,  Ankara.2010.</w:t>
            </w:r>
          </w:p>
          <w:p w:rsidR="00866831" w:rsidRPr="00866831" w:rsidRDefault="00866831" w:rsidP="008668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Sur H,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Palteki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T. (ed.) “Hastane Yönetimi” Nobel Tıp Kitapevleri, İstanbul, 2013.</w:t>
            </w:r>
          </w:p>
        </w:tc>
      </w:tr>
      <w:tr w:rsidR="00866831" w:rsidRPr="00866831" w:rsidTr="008D7563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Expression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question-answer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brain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storming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study</w:t>
            </w:r>
            <w:proofErr w:type="spellEnd"/>
          </w:p>
        </w:tc>
      </w:tr>
    </w:tbl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866831" w:rsidRPr="00866831" w:rsidTr="008D756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CONTENT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Systems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Socialization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No. 224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Parameters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Transformation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Decree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No. 663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Concerning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Duties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Ministry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Affiliates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Regulations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Civil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Servants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No. 657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Labour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Law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No. 4857</w:t>
            </w:r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Labour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Legislation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Resolutions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 Alma Ata, </w:t>
            </w:r>
            <w:proofErr w:type="spellStart"/>
            <w:proofErr w:type="gram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Vienna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Munich</w:t>
            </w:r>
            <w:proofErr w:type="spellEnd"/>
            <w:proofErr w:type="gram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) -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21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objectives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67" w:type="pct"/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</w:p>
        </w:tc>
      </w:tr>
      <w:tr w:rsidR="00866831" w:rsidRPr="00866831" w:rsidTr="008D7563">
        <w:trPr>
          <w:jc w:val="center"/>
        </w:trPr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67" w:type="pct"/>
            <w:tcBorders>
              <w:bottom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Patient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Staff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Safety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Legislation</w:t>
            </w:r>
            <w:proofErr w:type="spellEnd"/>
          </w:p>
        </w:tc>
      </w:tr>
    </w:tbl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866831" w:rsidRPr="00866831" w:rsidTr="008D7563"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</w:tcBorders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Gather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rPr>
          <w:trHeight w:val="226"/>
        </w:trPr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multi-disciplinary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effective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written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866831" w:rsidRPr="00866831" w:rsidTr="008D7563">
        <w:tc>
          <w:tcPr>
            <w:tcW w:w="1334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engage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66831" w:rsidRPr="00866831" w:rsidTr="008D7563">
        <w:tc>
          <w:tcPr>
            <w:tcW w:w="10491" w:type="dxa"/>
            <w:gridSpan w:val="5"/>
            <w:tcBorders>
              <w:bottom w:val="single" w:sz="12" w:space="0" w:color="auto"/>
            </w:tcBorders>
            <w:vAlign w:val="center"/>
          </w:tcPr>
          <w:p w:rsidR="00866831" w:rsidRPr="00866831" w:rsidRDefault="00866831" w:rsidP="0086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:Partially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86683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</w:t>
            </w:r>
            <w:proofErr w:type="spellEnd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683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</w:p>
        </w:tc>
      </w:tr>
    </w:tbl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spellStart"/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</w:t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</w:p>
    <w:p w:rsidR="00866831" w:rsidRPr="00866831" w:rsidRDefault="00866831" w:rsidP="0086683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66831" w:rsidRPr="00866831" w:rsidRDefault="00866831" w:rsidP="00866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66831">
        <w:rPr>
          <w:rFonts w:ascii="Times New Roman" w:eastAsia="Times New Roman" w:hAnsi="Times New Roman"/>
          <w:b/>
          <w:sz w:val="20"/>
          <w:szCs w:val="20"/>
          <w:lang w:eastAsia="tr-TR"/>
        </w:rPr>
        <w:t>01.11.2017</w:t>
      </w:r>
    </w:p>
    <w:p w:rsidR="00866831" w:rsidRDefault="00866831" w:rsidP="00B7532B"/>
    <w:sectPr w:rsidR="00866831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46CF"/>
    <w:multiLevelType w:val="hybridMultilevel"/>
    <w:tmpl w:val="47FAA4F2"/>
    <w:lvl w:ilvl="0" w:tplc="D7320F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C01B2"/>
    <w:rsid w:val="000F7F14"/>
    <w:rsid w:val="00136A61"/>
    <w:rsid w:val="001647C4"/>
    <w:rsid w:val="00171372"/>
    <w:rsid w:val="001E13BB"/>
    <w:rsid w:val="00200DC8"/>
    <w:rsid w:val="002132CC"/>
    <w:rsid w:val="00357C84"/>
    <w:rsid w:val="003A3806"/>
    <w:rsid w:val="004B7673"/>
    <w:rsid w:val="004C7093"/>
    <w:rsid w:val="00515876"/>
    <w:rsid w:val="00524D27"/>
    <w:rsid w:val="00634A9A"/>
    <w:rsid w:val="006612EF"/>
    <w:rsid w:val="0078769C"/>
    <w:rsid w:val="007921D2"/>
    <w:rsid w:val="00866831"/>
    <w:rsid w:val="008E2853"/>
    <w:rsid w:val="009339DC"/>
    <w:rsid w:val="009D6B62"/>
    <w:rsid w:val="009F65F0"/>
    <w:rsid w:val="00A354F4"/>
    <w:rsid w:val="00A8450E"/>
    <w:rsid w:val="00A863F9"/>
    <w:rsid w:val="00AC4D4A"/>
    <w:rsid w:val="00AD2566"/>
    <w:rsid w:val="00B6645D"/>
    <w:rsid w:val="00B7532B"/>
    <w:rsid w:val="00BE0369"/>
    <w:rsid w:val="00BF5BA8"/>
    <w:rsid w:val="00D21B4C"/>
    <w:rsid w:val="00D61B4C"/>
    <w:rsid w:val="00DE4D1A"/>
    <w:rsid w:val="00DE55D9"/>
    <w:rsid w:val="00E145A5"/>
    <w:rsid w:val="00E24E67"/>
    <w:rsid w:val="00E63B9D"/>
    <w:rsid w:val="00EC3328"/>
    <w:rsid w:val="00F26EDE"/>
    <w:rsid w:val="00F461DB"/>
    <w:rsid w:val="00F47B8E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F461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F461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2017-11-09T11:06:00Z</dcterms:created>
  <dcterms:modified xsi:type="dcterms:W3CDTF">2017-11-09T11:06:00Z</dcterms:modified>
</cp:coreProperties>
</file>