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AC" w:rsidRPr="00E140AC" w:rsidRDefault="00E140AC" w:rsidP="00E140A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140AC">
        <w:rPr>
          <w:rFonts w:ascii="Times New Roman" w:eastAsia="Calibri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30503345" wp14:editId="0FCB9C4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0AC" w:rsidRDefault="00E140AC" w:rsidP="00E140A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140AC">
        <w:rPr>
          <w:rFonts w:ascii="Times New Roman" w:eastAsia="Calibri" w:hAnsi="Times New Roman" w:cs="Times New Roman"/>
          <w:b/>
          <w:sz w:val="24"/>
          <w:szCs w:val="24"/>
        </w:rPr>
        <w:t>SAĞLIK BİLİMLERİ FAKÜLTESİ HEMŞİRELİK BÖLÜMÜ</w:t>
      </w:r>
    </w:p>
    <w:p w:rsidR="001C1321" w:rsidRDefault="00E140AC" w:rsidP="00E14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140AC">
        <w:rPr>
          <w:rFonts w:ascii="Times New Roman" w:eastAsia="Calibri" w:hAnsi="Times New Roman" w:cs="Times New Roman"/>
          <w:b/>
          <w:sz w:val="24"/>
          <w:szCs w:val="24"/>
        </w:rPr>
        <w:t>DERS BİLGİ FORMU</w:t>
      </w:r>
    </w:p>
    <w:tbl>
      <w:tblPr>
        <w:tblW w:w="2694" w:type="dxa"/>
        <w:tblInd w:w="6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1C1321" w:rsidTr="00E140AC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GÜZ</w:t>
            </w:r>
          </w:p>
        </w:tc>
      </w:tr>
    </w:tbl>
    <w:p w:rsidR="001C1321" w:rsidRDefault="001C1321" w:rsidP="001C13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1701"/>
        <w:gridCol w:w="2977"/>
      </w:tblGrid>
      <w:tr w:rsidR="001C1321" w:rsidTr="00E140AC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TIBBİ TERMİNOLOJİ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="006A47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281111015</w:t>
            </w:r>
            <w:proofErr w:type="gramEnd"/>
          </w:p>
        </w:tc>
      </w:tr>
    </w:tbl>
    <w:p w:rsidR="001C1321" w:rsidRDefault="001C1321" w:rsidP="001C13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2268"/>
        <w:gridCol w:w="2855"/>
      </w:tblGrid>
      <w:tr w:rsidR="001C1321" w:rsidTr="00E140AC">
        <w:trPr>
          <w:trHeight w:val="4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KOORDİNATÖR</w:t>
            </w:r>
          </w:p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Ferruh YÜCEL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VERENLER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C1321" w:rsidRDefault="001C13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Ferruh YÜCEL</w:t>
            </w:r>
          </w:p>
        </w:tc>
      </w:tr>
    </w:tbl>
    <w:p w:rsidR="001C1321" w:rsidRDefault="001C1321" w:rsidP="001C13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52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873"/>
        <w:gridCol w:w="1094"/>
        <w:gridCol w:w="737"/>
        <w:gridCol w:w="696"/>
        <w:gridCol w:w="850"/>
        <w:gridCol w:w="643"/>
        <w:gridCol w:w="222"/>
        <w:gridCol w:w="2537"/>
        <w:gridCol w:w="1537"/>
      </w:tblGrid>
      <w:tr w:rsidR="001C1321" w:rsidTr="001C1321">
        <w:trPr>
          <w:trHeight w:val="383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C1321" w:rsidTr="001C1321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Laboratuar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DİLİ</w:t>
            </w:r>
          </w:p>
        </w:tc>
      </w:tr>
      <w:tr w:rsidR="001C1321" w:rsidTr="001C1321">
        <w:trPr>
          <w:trHeight w:val="367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321" w:rsidRDefault="00E1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321" w:rsidRDefault="00E1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321" w:rsidRDefault="00E1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ZORUNLU ( )  SEÇMELİ (x)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</w:pPr>
            <w:r w:rsidRPr="00E140AC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tr-TR"/>
              </w:rPr>
              <w:t>Türkçe</w:t>
            </w:r>
          </w:p>
        </w:tc>
      </w:tr>
      <w:tr w:rsidR="001C1321" w:rsidTr="001C132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DEĞERLENDİRME SİSTEMİ</w:t>
            </w:r>
          </w:p>
        </w:tc>
      </w:tr>
      <w:tr w:rsidR="001C1321" w:rsidTr="001C1321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ÇALIŞMALAR</w:t>
            </w:r>
          </w:p>
        </w:tc>
        <w:tc>
          <w:tcPr>
            <w:tcW w:w="113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1C1321" w:rsidTr="001C132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I. Ara Sınav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1321" w:rsidRDefault="004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1C13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1C1321" w:rsidTr="001C132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II. Ara Sınav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1321" w:rsidRDefault="004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1C13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1C1321" w:rsidTr="001C1321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100</w:t>
            </w:r>
          </w:p>
        </w:tc>
      </w:tr>
      <w:tr w:rsidR="001C1321" w:rsidTr="001C132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1C1321" w:rsidTr="001C132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Tıbbi Terminolojiye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giriş, tıbbi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terimleri meydana getiren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kökler, önekler, sonekler, sistemlere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ait terimler; hareket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sistemine, kan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bağışıklık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sistemine, kalp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-damar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sistemine, solunum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sistemine, sindirim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sistemine, boşaltım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sistemine, sinir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sistemine, kadın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erkek üreme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organlarına, doğuma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beş duyu </w:t>
            </w:r>
            <w:r w:rsidR="00C5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organlarına, endokrin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sisteme, psikiyatrik hastalıklara ait terimler</w:t>
            </w:r>
          </w:p>
        </w:tc>
      </w:tr>
      <w:tr w:rsidR="001C1321" w:rsidTr="001C1321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sağlığı ile ilgili olarak eğitim ve öğretim gören öğrencilerin tıbbi terminolojiyi öğrenmeleri,</w:t>
            </w:r>
          </w:p>
        </w:tc>
      </w:tr>
      <w:tr w:rsidR="001C1321" w:rsidTr="001C1321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Tıbbi terimleri uygulama becerisi</w:t>
            </w:r>
          </w:p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kurma becerisi</w:t>
            </w:r>
          </w:p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etik ve sorumluluğu anlama</w:t>
            </w:r>
          </w:p>
          <w:p w:rsidR="001C1321" w:rsidRDefault="00C54795">
            <w:pPr>
              <w:spacing w:after="0" w:line="240" w:lineRule="auto"/>
              <w:rPr>
                <w:rFonts w:ascii="Arial" w:eastAsia="Arial" w:hAnsi="Arial" w:cs="Arial"/>
                <w:color w:val="284775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Araştırma, veri</w:t>
            </w:r>
            <w:r w:rsidR="001C13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toplama becerisini kazandırma</w:t>
            </w:r>
          </w:p>
        </w:tc>
      </w:tr>
      <w:tr w:rsidR="001C1321" w:rsidTr="001C1321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Artuoğlu,M.A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Kaplan,A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Yılmaz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A.( 2004 ).Tıbbi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Terminoloji.Ankara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:Denge Matbaa</w:t>
            </w:r>
          </w:p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Hatiboğlu,T.M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Çam,M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., ( 1998 ).Tıbbi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Terminoloji.Ankara:Hatiboğlu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yayınları</w:t>
            </w:r>
          </w:p>
        </w:tc>
      </w:tr>
      <w:tr w:rsidR="001C1321" w:rsidTr="001C1321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ÖĞRETİM YÖNTEMLERİ</w:t>
            </w:r>
          </w:p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321" w:rsidRDefault="001C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Düz anlatım,  soru-cevap tekniği,</w:t>
            </w:r>
            <w:r>
              <w:rPr>
                <w:rFonts w:ascii="Times New Roman" w:eastAsia="Times New Roman" w:hAnsi="Times New Roman" w:cs="TimesNewRomanPS-BoldMT"/>
                <w:bCs/>
                <w:sz w:val="20"/>
                <w:szCs w:val="20"/>
                <w:lang w:eastAsia="tr-TR"/>
              </w:rPr>
              <w:t xml:space="preserve"> rol </w:t>
            </w:r>
            <w:proofErr w:type="spellStart"/>
            <w:r>
              <w:rPr>
                <w:rFonts w:ascii="Times New Roman" w:eastAsia="Times New Roman" w:hAnsi="Times New Roman" w:cs="TimesNewRomanPS-BoldMT"/>
                <w:bCs/>
                <w:sz w:val="20"/>
                <w:szCs w:val="20"/>
                <w:lang w:eastAsia="tr-TR"/>
              </w:rPr>
              <w:t>play</w:t>
            </w:r>
            <w:proofErr w:type="spellEnd"/>
            <w:r>
              <w:rPr>
                <w:rFonts w:ascii="Times New Roman" w:eastAsia="Times New Roman" w:hAnsi="Times New Roman" w:cs="TimesNewRomanPS-BoldMT"/>
                <w:bCs/>
                <w:sz w:val="20"/>
                <w:szCs w:val="20"/>
                <w:lang w:eastAsia="tr-TR"/>
              </w:rPr>
              <w:t xml:space="preserve"> tekniği,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beyin fırtınası, </w:t>
            </w:r>
            <w:proofErr w:type="spellStart"/>
            <w:r>
              <w:rPr>
                <w:rFonts w:ascii="Times New Roman" w:eastAsia="Times New Roman" w:hAnsi="Times New Roman" w:cs="TimesNewRomanPS-BoldMT"/>
                <w:bCs/>
                <w:sz w:val="20"/>
                <w:szCs w:val="20"/>
                <w:lang w:eastAsia="tr-TR"/>
              </w:rPr>
              <w:t>barkovizyon</w:t>
            </w:r>
            <w:proofErr w:type="spellEnd"/>
            <w:r>
              <w:rPr>
                <w:rFonts w:ascii="Times New Roman" w:eastAsia="Times New Roman" w:hAnsi="Times New Roman" w:cs="TimesNewRomanPS-BoldMT"/>
                <w:bCs/>
                <w:sz w:val="20"/>
                <w:szCs w:val="20"/>
                <w:lang w:eastAsia="tr-TR"/>
              </w:rPr>
              <w:t xml:space="preserve">,  internet,  beceri </w:t>
            </w:r>
            <w:proofErr w:type="spellStart"/>
            <w:r>
              <w:rPr>
                <w:rFonts w:ascii="Times New Roman" w:eastAsia="Times New Roman" w:hAnsi="Times New Roman" w:cs="TimesNewRomanPS-BoldMT"/>
                <w:bCs/>
                <w:sz w:val="20"/>
                <w:szCs w:val="20"/>
                <w:lang w:eastAsia="tr-TR"/>
              </w:rPr>
              <w:t>laboratuarlarında</w:t>
            </w:r>
            <w:proofErr w:type="spellEnd"/>
            <w:r>
              <w:rPr>
                <w:rFonts w:ascii="Times New Roman" w:eastAsia="Times New Roman" w:hAnsi="Times New Roman" w:cs="TimesNewRomanPS-BoldMT"/>
                <w:bCs/>
                <w:sz w:val="20"/>
                <w:szCs w:val="20"/>
                <w:lang w:eastAsia="tr-TR"/>
              </w:rPr>
              <w:t xml:space="preserve"> uygulama</w:t>
            </w:r>
          </w:p>
          <w:p w:rsidR="001C1321" w:rsidRDefault="001C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21" w:rsidRDefault="001C1321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</w:tbl>
    <w:p w:rsidR="001C1321" w:rsidRDefault="001C1321" w:rsidP="001C13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C1321" w:rsidRDefault="001C1321" w:rsidP="001C13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1321" w:rsidRDefault="001C1321" w:rsidP="001C13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1321" w:rsidRDefault="001C1321" w:rsidP="001C13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1321" w:rsidRDefault="001C1321" w:rsidP="001C13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1321" w:rsidRDefault="001C1321" w:rsidP="001C13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8"/>
        <w:gridCol w:w="8684"/>
      </w:tblGrid>
      <w:tr w:rsidR="001C1321" w:rsidTr="001C1321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DERSİN HAFTALIK PLANI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İŞLENEN KONULAR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Tıbbi Terminolojiye giriş, ,sistemlere ait terimler 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Tıbbi terimleri meydana getiren kökler,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Tıbbi terimleri meydana getiren </w:t>
            </w:r>
            <w:r w:rsidR="00E1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önekler, sonekler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Hareket sistemine ait terimler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Sinir </w:t>
            </w:r>
            <w:r w:rsidR="00E1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sistemine 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psikiyatrik hastalıklara ait terimler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 ve bağışıklık sistemine ait terimler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Kalp-damar sistemine ait terimler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SINAVI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Solunum sistemine </w:t>
            </w:r>
            <w:r w:rsidR="00E1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ait terimler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Sindirim </w:t>
            </w:r>
            <w:r w:rsidR="00E1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sistemine ait terimler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E1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Boşaltım</w:t>
            </w:r>
            <w:r w:rsidR="001C13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sistemine ait terimler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Kadın üreme organlarına ve doğuma ait terimler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üreme </w:t>
            </w:r>
            <w:r w:rsidR="00E1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organlarına ait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terimler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Beş duyu organlarına</w:t>
            </w:r>
          </w:p>
        </w:tc>
      </w:tr>
      <w:tr w:rsidR="001C1321" w:rsidTr="001C132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Endokrin sisteme,</w:t>
            </w:r>
          </w:p>
        </w:tc>
      </w:tr>
      <w:tr w:rsidR="001C1321" w:rsidTr="00E140AC">
        <w:trPr>
          <w:trHeight w:val="167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1321" w:rsidRDefault="00E1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YARIYIL</w:t>
            </w:r>
            <w:r w:rsidR="001C13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SONU SINAVI</w:t>
            </w:r>
          </w:p>
        </w:tc>
      </w:tr>
    </w:tbl>
    <w:p w:rsidR="001C1321" w:rsidRDefault="001C1321" w:rsidP="001C13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1C1321" w:rsidRDefault="001C1321" w:rsidP="001C13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2"/>
        <w:gridCol w:w="7585"/>
        <w:gridCol w:w="568"/>
        <w:gridCol w:w="568"/>
        <w:gridCol w:w="566"/>
      </w:tblGrid>
      <w:tr w:rsidR="001C1321" w:rsidTr="001C1321"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8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PROGRAM ÇIKTISI 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bilgi düzeyine katkı sağlama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X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iletişim becerisini geliştirme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X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Programı ile ilgili güncel bilgilere ulaşabilme becerisi oluşturma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uygulama alanında meslektaşlarıyla sağlıklı iletişim kurabilme ve bilgi alışverişinde bulunma yeteneği kazandırma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X 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deontoloji kurallarına uygulama bilinci kazanma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Sağlık alanı ile ilgili temel bilgi düzeyine sahip olma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Alanı ile ilgili teknolojik ürünleri kullanabilme becerisine sahip olmak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X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Alanı ile ilgili uygulamalarda gerekli el becerisi kazanma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X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Sterilizasyon, dezenfeksiyon ve antisepsi uygulayabilme becerisi ve alışkanlığı kazanma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uygulamalar sırasında ortaya çıkabilecek problemleri sağlıklı biçimde çözebilme becerisi kazanma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Alanı ile ilgili uygulamalarda hızlı ve doğru karar verebilme yetisi kazanma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X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mevzuatı hakkında bilgi sahibi olma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sorumluluk bilinci kazanma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güvenliği konusunda gerekli bilgi ve tecrübe kazanma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C1321" w:rsidTr="001C1321"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Entellektüel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düzeye katkı sağlama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C1321" w:rsidTr="001C1321"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1321" w:rsidRDefault="001C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:Hiç Katkısı Yok.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:Kısmen Katkısı Var.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:Tam Katkısı Var.</w:t>
            </w:r>
          </w:p>
        </w:tc>
      </w:tr>
    </w:tbl>
    <w:p w:rsidR="001C1321" w:rsidRDefault="001C1321" w:rsidP="001C13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1C1321" w:rsidRDefault="001C1321" w:rsidP="001C13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7630F" w:rsidRDefault="00E140AC" w:rsidP="00E14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40AC">
        <w:rPr>
          <w:rFonts w:ascii="Times New Roman" w:eastAsia="Calibri" w:hAnsi="Times New Roman" w:cs="Times New Roman"/>
          <w:b/>
          <w:sz w:val="20"/>
          <w:szCs w:val="20"/>
        </w:rPr>
        <w:t xml:space="preserve">Tarih  </w:t>
      </w:r>
      <w:r w:rsidRPr="00E140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140AC">
        <w:rPr>
          <w:rFonts w:ascii="Times New Roman" w:eastAsia="Calibri" w:hAnsi="Times New Roman" w:cs="Times New Roman"/>
          <w:sz w:val="20"/>
          <w:szCs w:val="20"/>
        </w:rPr>
        <w:tab/>
      </w:r>
      <w:r w:rsidRPr="00E140AC">
        <w:rPr>
          <w:rFonts w:ascii="Times New Roman" w:eastAsia="Calibri" w:hAnsi="Times New Roman" w:cs="Times New Roman"/>
          <w:sz w:val="20"/>
          <w:szCs w:val="20"/>
        </w:rPr>
        <w:tab/>
      </w:r>
      <w:r w:rsidRPr="00E140AC">
        <w:rPr>
          <w:rFonts w:ascii="Times New Roman" w:eastAsia="Calibri" w:hAnsi="Times New Roman" w:cs="Times New Roman"/>
          <w:sz w:val="20"/>
          <w:szCs w:val="20"/>
        </w:rPr>
        <w:tab/>
      </w:r>
      <w:r w:rsidRPr="00E140AC">
        <w:rPr>
          <w:rFonts w:ascii="Times New Roman" w:eastAsia="Calibri" w:hAnsi="Times New Roman" w:cs="Times New Roman"/>
          <w:sz w:val="20"/>
          <w:szCs w:val="20"/>
        </w:rPr>
        <w:tab/>
      </w:r>
      <w:r w:rsidRPr="00E140AC">
        <w:rPr>
          <w:rFonts w:ascii="Times New Roman" w:eastAsia="Calibri" w:hAnsi="Times New Roman" w:cs="Times New Roman"/>
          <w:sz w:val="20"/>
          <w:szCs w:val="20"/>
        </w:rPr>
        <w:tab/>
      </w:r>
      <w:r w:rsidRPr="00E140AC">
        <w:rPr>
          <w:rFonts w:ascii="Times New Roman" w:eastAsia="Calibri" w:hAnsi="Times New Roman" w:cs="Times New Roman"/>
          <w:sz w:val="20"/>
          <w:szCs w:val="20"/>
        </w:rPr>
        <w:tab/>
      </w:r>
      <w:r w:rsidRPr="00E140A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İmza</w:t>
      </w: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Default="0047630F" w:rsidP="0047630F">
      <w:pPr>
        <w:tabs>
          <w:tab w:val="left" w:pos="7800"/>
        </w:tabs>
        <w:rPr>
          <w:b/>
          <w:sz w:val="20"/>
          <w:szCs w:val="20"/>
        </w:rPr>
      </w:pPr>
    </w:p>
    <w:p w:rsidR="0047630F" w:rsidRPr="0047630F" w:rsidRDefault="0047630F" w:rsidP="0047630F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</w:p>
    <w:p w:rsidR="0047630F" w:rsidRPr="0047630F" w:rsidRDefault="0047630F" w:rsidP="0047630F">
      <w:pPr>
        <w:shd w:val="clear" w:color="auto" w:fill="F5F5F5"/>
        <w:jc w:val="center"/>
        <w:textAlignment w:val="top"/>
        <w:rPr>
          <w:rFonts w:ascii="Times New Roman" w:hAnsi="Times New Roman" w:cs="Times New Roman"/>
          <w:b/>
          <w:sz w:val="20"/>
          <w:szCs w:val="20"/>
        </w:rPr>
      </w:pPr>
      <w:r w:rsidRPr="0047630F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 wp14:anchorId="5B8E9B2A" wp14:editId="08E38C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30F">
        <w:rPr>
          <w:rFonts w:ascii="Times New Roman" w:hAnsi="Times New Roman" w:cs="Times New Roman"/>
          <w:b/>
          <w:sz w:val="20"/>
          <w:szCs w:val="20"/>
        </w:rPr>
        <w:t>FACULTY OF HEALTH NURSING DEPARTMENT</w:t>
      </w:r>
    </w:p>
    <w:p w:rsidR="0047630F" w:rsidRPr="0047630F" w:rsidRDefault="0047630F" w:rsidP="0047630F">
      <w:pPr>
        <w:shd w:val="clear" w:color="auto" w:fill="F5F5F5"/>
        <w:jc w:val="center"/>
        <w:textAlignment w:val="top"/>
        <w:rPr>
          <w:rFonts w:ascii="Times New Roman" w:hAnsi="Times New Roman" w:cs="Times New Roman"/>
          <w:b/>
          <w:sz w:val="20"/>
          <w:szCs w:val="20"/>
        </w:rPr>
      </w:pPr>
      <w:r w:rsidRPr="0047630F">
        <w:rPr>
          <w:rFonts w:ascii="Times New Roman" w:hAnsi="Times New Roman" w:cs="Times New Roman"/>
          <w:b/>
          <w:sz w:val="20"/>
          <w:szCs w:val="20"/>
        </w:rPr>
        <w:t>INFORMATION FORM OF COURSE</w:t>
      </w:r>
    </w:p>
    <w:p w:rsidR="0047630F" w:rsidRPr="0047630F" w:rsidRDefault="0047630F" w:rsidP="0047630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47630F" w:rsidRPr="0047630F" w:rsidTr="0047630F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AUTUMN</w:t>
            </w:r>
          </w:p>
        </w:tc>
      </w:tr>
    </w:tbl>
    <w:p w:rsidR="0047630F" w:rsidRPr="0047630F" w:rsidRDefault="0047630F" w:rsidP="0047630F">
      <w:pPr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47630F" w:rsidRPr="0047630F" w:rsidTr="0047630F"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Terminology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30F" w:rsidRPr="0047630F" w:rsidRDefault="006A4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281111015</w:t>
            </w:r>
            <w:bookmarkStart w:id="0" w:name="_GoBack"/>
            <w:bookmarkEnd w:id="0"/>
          </w:p>
        </w:tc>
      </w:tr>
    </w:tbl>
    <w:p w:rsidR="0047630F" w:rsidRPr="0047630F" w:rsidRDefault="0047630F" w:rsidP="0047630F">
      <w:pPr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630F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47630F" w:rsidRPr="0047630F" w:rsidTr="0047630F">
        <w:trPr>
          <w:trHeight w:val="46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630F" w:rsidRPr="0047630F" w:rsidRDefault="0047630F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COORDINATOR</w:t>
            </w:r>
          </w:p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Prof. Dr. Ferruh YÜCEL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630F" w:rsidRPr="0047630F" w:rsidRDefault="0047630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Prof. Dr. Ferruh YÜCEL</w:t>
            </w:r>
          </w:p>
        </w:tc>
      </w:tr>
    </w:tbl>
    <w:p w:rsidR="0047630F" w:rsidRPr="0047630F" w:rsidRDefault="0047630F" w:rsidP="0047630F">
      <w:pPr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763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Pr="0047630F">
        <w:rPr>
          <w:rFonts w:ascii="Times New Roman" w:hAnsi="Times New Roman" w:cs="Times New Roman"/>
          <w:b/>
          <w:sz w:val="20"/>
          <w:szCs w:val="20"/>
        </w:rPr>
        <w:tab/>
      </w:r>
      <w:r w:rsidRPr="0047630F">
        <w:rPr>
          <w:rFonts w:ascii="Times New Roman" w:hAnsi="Times New Roman" w:cs="Times New Roman"/>
          <w:b/>
          <w:sz w:val="20"/>
          <w:szCs w:val="20"/>
        </w:rPr>
        <w:tab/>
      </w:r>
      <w:r w:rsidRPr="0047630F">
        <w:rPr>
          <w:rFonts w:ascii="Times New Roman" w:hAnsi="Times New Roman" w:cs="Times New Roman"/>
          <w:b/>
          <w:sz w:val="20"/>
          <w:szCs w:val="20"/>
        </w:rPr>
        <w:tab/>
      </w:r>
      <w:r w:rsidRPr="0047630F">
        <w:rPr>
          <w:rFonts w:ascii="Times New Roman" w:hAnsi="Times New Roman" w:cs="Times New Roman"/>
          <w:b/>
          <w:sz w:val="20"/>
          <w:szCs w:val="20"/>
        </w:rPr>
        <w:tab/>
      </w:r>
      <w:r w:rsidRPr="004763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52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51"/>
        <w:gridCol w:w="1069"/>
        <w:gridCol w:w="733"/>
        <w:gridCol w:w="696"/>
        <w:gridCol w:w="827"/>
        <w:gridCol w:w="641"/>
        <w:gridCol w:w="222"/>
        <w:gridCol w:w="2531"/>
        <w:gridCol w:w="1372"/>
      </w:tblGrid>
      <w:tr w:rsidR="0047630F" w:rsidRPr="0047630F" w:rsidTr="0047630F">
        <w:trPr>
          <w:trHeight w:val="383"/>
        </w:trPr>
        <w:tc>
          <w:tcPr>
            <w:tcW w:w="6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HOURS PER WEEK </w:t>
            </w:r>
          </w:p>
        </w:tc>
        <w:tc>
          <w:tcPr>
            <w:tcW w:w="26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30F" w:rsidRPr="0047630F" w:rsidTr="0047630F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LANGUAGE</w:t>
            </w:r>
          </w:p>
        </w:tc>
      </w:tr>
      <w:tr w:rsidR="0047630F" w:rsidRPr="0047630F" w:rsidTr="0047630F">
        <w:trPr>
          <w:trHeight w:val="367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COMPULSORY ()  ELECTIVE( X  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TURKİSH</w:t>
            </w:r>
          </w:p>
        </w:tc>
      </w:tr>
      <w:tr w:rsidR="0047630F" w:rsidRPr="0047630F" w:rsidTr="0047630F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ASSESMENT SYSTEM</w:t>
            </w:r>
          </w:p>
        </w:tc>
      </w:tr>
      <w:tr w:rsidR="0047630F" w:rsidRPr="0047630F" w:rsidTr="0047630F">
        <w:tc>
          <w:tcPr>
            <w:tcW w:w="197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IN-TERM STUDIES</w:t>
            </w:r>
          </w:p>
        </w:tc>
        <w:tc>
          <w:tcPr>
            <w:tcW w:w="112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6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47630F" w:rsidRPr="0047630F" w:rsidTr="0047630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First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Mid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7630F" w:rsidRPr="0047630F" w:rsidTr="0047630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Second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Mid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7630F" w:rsidRPr="0047630F" w:rsidTr="0047630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30F" w:rsidRPr="0047630F" w:rsidTr="0047630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30F" w:rsidRPr="0047630F" w:rsidTr="0047630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Presentation/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Preparing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30F" w:rsidRPr="0047630F" w:rsidTr="0047630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243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7630F" w:rsidRPr="0047630F" w:rsidTr="0047630F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7630F" w:rsidRPr="0047630F" w:rsidTr="0047630F">
        <w:trPr>
          <w:trHeight w:val="447"/>
        </w:trPr>
        <w:tc>
          <w:tcPr>
            <w:tcW w:w="19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PREREQUISITES</w:t>
            </w:r>
          </w:p>
        </w:tc>
        <w:tc>
          <w:tcPr>
            <w:tcW w:w="30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47630F" w:rsidRPr="0047630F" w:rsidTr="0047630F">
        <w:trPr>
          <w:trHeight w:val="447"/>
        </w:trPr>
        <w:tc>
          <w:tcPr>
            <w:tcW w:w="19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CONTENTS</w:t>
            </w:r>
          </w:p>
        </w:tc>
        <w:tc>
          <w:tcPr>
            <w:tcW w:w="30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Terminology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forming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roots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prefixes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suffixes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movement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blood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immune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cardiovascular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respiratory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digestive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urinary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nervous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women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reproductive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organs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child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birth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five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sense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organs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endocrine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psychiatric</w:t>
            </w:r>
            <w:proofErr w:type="spellEnd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disease</w:t>
            </w:r>
            <w:proofErr w:type="spellEnd"/>
            <w:proofErr w:type="gramEnd"/>
          </w:p>
        </w:tc>
      </w:tr>
      <w:tr w:rsidR="0047630F" w:rsidRPr="0047630F" w:rsidTr="0047630F">
        <w:trPr>
          <w:trHeight w:val="426"/>
        </w:trPr>
        <w:tc>
          <w:tcPr>
            <w:tcW w:w="19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GOALS</w:t>
            </w:r>
          </w:p>
        </w:tc>
        <w:tc>
          <w:tcPr>
            <w:tcW w:w="30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Learn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terminology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respect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7630F" w:rsidRPr="0047630F" w:rsidTr="0047630F">
        <w:trPr>
          <w:trHeight w:val="518"/>
        </w:trPr>
        <w:tc>
          <w:tcPr>
            <w:tcW w:w="19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30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apply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</w:p>
          <w:p w:rsidR="0047630F" w:rsidRPr="0047630F" w:rsidRDefault="0047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oral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</w:p>
          <w:p w:rsidR="0047630F" w:rsidRPr="0047630F" w:rsidRDefault="0047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ethics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</w:p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proofErr w:type="gram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data-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</w:p>
        </w:tc>
      </w:tr>
      <w:tr w:rsidR="0047630F" w:rsidRPr="0047630F" w:rsidTr="0047630F">
        <w:trPr>
          <w:trHeight w:val="518"/>
        </w:trPr>
        <w:tc>
          <w:tcPr>
            <w:tcW w:w="19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SOURCES</w:t>
            </w:r>
          </w:p>
        </w:tc>
        <w:tc>
          <w:tcPr>
            <w:tcW w:w="30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Artukoğlu, A. Kaplan, A</w:t>
            </w:r>
            <w:proofErr w:type="gram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A. (2004) .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Tıbb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terminoloji.ankar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Balance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Print</w:t>
            </w:r>
            <w:proofErr w:type="spellEnd"/>
          </w:p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Hatiboglu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, T. M</w:t>
            </w:r>
            <w:proofErr w:type="gram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Pine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, MI., (1998) .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Tıbb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terminoloji.ankar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Hatiboglu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  <w:proofErr w:type="spellEnd"/>
          </w:p>
        </w:tc>
      </w:tr>
      <w:tr w:rsidR="0047630F" w:rsidRPr="0047630F" w:rsidTr="0047630F">
        <w:trPr>
          <w:trHeight w:val="520"/>
        </w:trPr>
        <w:tc>
          <w:tcPr>
            <w:tcW w:w="19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TEACHING METHODS</w:t>
            </w:r>
          </w:p>
        </w:tc>
        <w:tc>
          <w:tcPr>
            <w:tcW w:w="30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answer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proofErr w:type="gram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role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play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technique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storming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data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internet,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</w:tr>
      <w:tr w:rsidR="0047630F" w:rsidRPr="0047630F" w:rsidTr="0047630F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7630F" w:rsidRPr="0047630F" w:rsidRDefault="0047630F" w:rsidP="0047630F">
      <w:pPr>
        <w:rPr>
          <w:rFonts w:ascii="Times New Roman" w:hAnsi="Times New Roman" w:cs="Times New Roman"/>
          <w:sz w:val="20"/>
          <w:szCs w:val="20"/>
        </w:rPr>
        <w:sectPr w:rsidR="0047630F" w:rsidRPr="004763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1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503"/>
      </w:tblGrid>
      <w:tr w:rsidR="0047630F" w:rsidRPr="0047630F" w:rsidTr="0047630F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CONTENT</w:t>
            </w:r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Terminology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Roots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forming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prefixes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suffixes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proofErr w:type="gram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nervous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psychiatric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immune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Berthelot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Digestive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sistemineait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drain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reproductive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organs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reproductive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organs</w:t>
            </w:r>
            <w:proofErr w:type="spellEnd"/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five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senses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body</w:t>
            </w:r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Endocrine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7630F" w:rsidRPr="0047630F" w:rsidTr="0047630F">
        <w:trPr>
          <w:jc w:val="center"/>
        </w:trPr>
        <w:tc>
          <w:tcPr>
            <w:tcW w:w="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</w:p>
        </w:tc>
      </w:tr>
    </w:tbl>
    <w:p w:rsidR="0047630F" w:rsidRPr="0047630F" w:rsidRDefault="0047630F" w:rsidP="004763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630F" w:rsidRPr="0047630F" w:rsidRDefault="0047630F" w:rsidP="0047630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2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6"/>
        <w:gridCol w:w="6975"/>
        <w:gridCol w:w="548"/>
        <w:gridCol w:w="548"/>
        <w:gridCol w:w="552"/>
      </w:tblGrid>
      <w:tr w:rsidR="0047630F" w:rsidRPr="0047630F" w:rsidTr="0047630F"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6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PROGRAM OUTCOMES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contribute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improve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program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7630F" w:rsidRPr="0047630F" w:rsidTr="0047630F">
        <w:trPr>
          <w:trHeight w:val="429"/>
        </w:trPr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communicate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exchange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counterparts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profession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winning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awareness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deontology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dexterity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Sterilization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disinfection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apply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habit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antisepsis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arise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solve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it in a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healthy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manner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decide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quickly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accurately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legislation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winning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47630F" w:rsidRPr="0047630F" w:rsidTr="0047630F"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contribute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intellectual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30F" w:rsidRPr="0047630F" w:rsidRDefault="004763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30F" w:rsidRPr="0047630F" w:rsidTr="0047630F">
        <w:tc>
          <w:tcPr>
            <w:tcW w:w="972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630F" w:rsidRPr="0047630F" w:rsidRDefault="004763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:No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contribution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Yok. </w:t>
            </w: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:Partially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contribution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763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30F">
              <w:rPr>
                <w:rFonts w:ascii="Times New Roman" w:hAnsi="Times New Roman" w:cs="Times New Roman"/>
                <w:sz w:val="20"/>
                <w:szCs w:val="20"/>
              </w:rPr>
              <w:t>contribution</w:t>
            </w:r>
            <w:proofErr w:type="spellEnd"/>
          </w:p>
        </w:tc>
      </w:tr>
    </w:tbl>
    <w:p w:rsidR="0047630F" w:rsidRPr="0047630F" w:rsidRDefault="0047630F" w:rsidP="0047630F">
      <w:pPr>
        <w:tabs>
          <w:tab w:val="left" w:pos="78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630F" w:rsidRPr="0047630F" w:rsidRDefault="0047630F" w:rsidP="0047630F">
      <w:pPr>
        <w:tabs>
          <w:tab w:val="left" w:pos="7800"/>
        </w:tabs>
        <w:rPr>
          <w:rFonts w:ascii="Times New Roman" w:hAnsi="Times New Roman" w:cs="Times New Roman"/>
          <w:b/>
          <w:sz w:val="20"/>
          <w:szCs w:val="20"/>
        </w:rPr>
      </w:pPr>
    </w:p>
    <w:p w:rsidR="0047630F" w:rsidRPr="0047630F" w:rsidRDefault="0047630F" w:rsidP="0047630F">
      <w:pPr>
        <w:tabs>
          <w:tab w:val="left" w:pos="7800"/>
        </w:tabs>
        <w:rPr>
          <w:rFonts w:ascii="Times New Roman" w:hAnsi="Times New Roman" w:cs="Times New Roman"/>
          <w:b/>
          <w:sz w:val="20"/>
          <w:szCs w:val="20"/>
        </w:rPr>
      </w:pPr>
    </w:p>
    <w:p w:rsidR="00E140AC" w:rsidRPr="00E140AC" w:rsidRDefault="0047630F" w:rsidP="004763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7630F">
        <w:rPr>
          <w:rFonts w:ascii="Times New Roman" w:hAnsi="Times New Roman" w:cs="Times New Roman"/>
          <w:b/>
          <w:sz w:val="20"/>
          <w:szCs w:val="20"/>
        </w:rPr>
        <w:t>Date</w:t>
      </w:r>
      <w:proofErr w:type="spellEnd"/>
      <w:r w:rsidRPr="004763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763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630F">
        <w:rPr>
          <w:rFonts w:ascii="Times New Roman" w:hAnsi="Times New Roman" w:cs="Times New Roman"/>
          <w:b/>
          <w:sz w:val="20"/>
          <w:szCs w:val="20"/>
        </w:rPr>
        <w:t>Signature</w:t>
      </w:r>
      <w:proofErr w:type="spellEnd"/>
      <w:r>
        <w:t xml:space="preserve"> </w:t>
      </w:r>
      <w:r>
        <w:rPr>
          <w:b/>
        </w:rPr>
        <w:tab/>
      </w:r>
      <w:r>
        <w:rPr>
          <w:b/>
        </w:rPr>
        <w:tab/>
      </w:r>
      <w:r w:rsidR="00E140AC" w:rsidRPr="00E140AC">
        <w:rPr>
          <w:rFonts w:ascii="Times New Roman" w:eastAsia="Calibri" w:hAnsi="Times New Roman" w:cs="Times New Roman"/>
          <w:b/>
          <w:sz w:val="20"/>
          <w:szCs w:val="20"/>
        </w:rPr>
        <w:tab/>
      </w:r>
    </w:p>
    <w:sectPr w:rsidR="00E140AC" w:rsidRPr="00E140AC" w:rsidSect="0061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21"/>
    <w:rsid w:val="00127E86"/>
    <w:rsid w:val="001344F7"/>
    <w:rsid w:val="001C1321"/>
    <w:rsid w:val="00444CAB"/>
    <w:rsid w:val="0047630F"/>
    <w:rsid w:val="00616DDC"/>
    <w:rsid w:val="006A4721"/>
    <w:rsid w:val="00B53BE7"/>
    <w:rsid w:val="00C54795"/>
    <w:rsid w:val="00E140AC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C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5</cp:revision>
  <cp:lastPrinted>2017-04-19T11:05:00Z</cp:lastPrinted>
  <dcterms:created xsi:type="dcterms:W3CDTF">2017-12-13T13:14:00Z</dcterms:created>
  <dcterms:modified xsi:type="dcterms:W3CDTF">2017-12-13T13:27:00Z</dcterms:modified>
</cp:coreProperties>
</file>